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1C3D4" w14:textId="77777777" w:rsidR="00A8604F" w:rsidRPr="00736E53" w:rsidRDefault="00A8604F" w:rsidP="006F7986">
      <w:pPr>
        <w:jc w:val="center"/>
        <w:rPr>
          <w:rFonts w:ascii="Times New Roman" w:hAnsi="Times New Roman"/>
          <w:b/>
        </w:rPr>
      </w:pPr>
    </w:p>
    <w:p w14:paraId="713273FB" w14:textId="59E9DF12" w:rsidR="00736E53" w:rsidRPr="00C07AF1" w:rsidRDefault="00736E53" w:rsidP="006F7986">
      <w:pPr>
        <w:jc w:val="center"/>
        <w:rPr>
          <w:rFonts w:ascii="Times New Roman" w:hAnsi="Times New Roman"/>
          <w:b/>
        </w:rPr>
      </w:pPr>
      <w:r w:rsidRPr="00C07AF1">
        <w:rPr>
          <w:rFonts w:ascii="Times New Roman" w:hAnsi="Times New Roman"/>
          <w:b/>
        </w:rPr>
        <w:t>EQUIPMENT'</w:t>
      </w:r>
      <w:r w:rsidR="00965168">
        <w:rPr>
          <w:rFonts w:ascii="Times New Roman" w:hAnsi="Times New Roman"/>
          <w:b/>
        </w:rPr>
        <w:t>S</w:t>
      </w:r>
      <w:r w:rsidRPr="00C07AF1">
        <w:rPr>
          <w:rFonts w:ascii="Times New Roman" w:hAnsi="Times New Roman"/>
          <w:b/>
        </w:rPr>
        <w:t xml:space="preserve"> SEISMIC FRAGILITY CURVE ESTIMATION USING SIGNALS GENERATED WITH GMPES - CASE STUDY ON THE KASHIWAZAKI-KARIWA POWER PLANT</w:t>
      </w:r>
    </w:p>
    <w:p w14:paraId="37984777" w14:textId="77777777" w:rsidR="00736E53" w:rsidRPr="00C07AF1" w:rsidRDefault="00736E53" w:rsidP="006F7986">
      <w:pPr>
        <w:jc w:val="center"/>
        <w:rPr>
          <w:rFonts w:ascii="Times New Roman" w:hAnsi="Times New Roman"/>
        </w:rPr>
      </w:pPr>
    </w:p>
    <w:p w14:paraId="67FA6DA1" w14:textId="77777777" w:rsidR="00A8604F" w:rsidRPr="00C07AF1" w:rsidRDefault="0099373A">
      <w:pPr>
        <w:rPr>
          <w:rFonts w:ascii="Times New Roman" w:hAnsi="Times New Roman"/>
        </w:rPr>
      </w:pPr>
      <w:r w:rsidRPr="00C07AF1">
        <w:rPr>
          <w:rFonts w:ascii="Times New Roman" w:hAnsi="Times New Roman"/>
        </w:rPr>
        <w:t>Fan WANG</w:t>
      </w:r>
      <w:r w:rsidRPr="00C07AF1">
        <w:rPr>
          <w:rFonts w:ascii="Times New Roman" w:hAnsi="Times New Roman"/>
          <w:vertAlign w:val="superscript"/>
        </w:rPr>
        <w:t>1</w:t>
      </w:r>
      <w:r w:rsidRPr="00C07AF1">
        <w:rPr>
          <w:rFonts w:ascii="Times New Roman" w:hAnsi="Times New Roman"/>
        </w:rPr>
        <w:t>, Cyril FEAU</w:t>
      </w:r>
      <w:r w:rsidRPr="00C07AF1">
        <w:rPr>
          <w:rFonts w:ascii="Times New Roman" w:hAnsi="Times New Roman"/>
          <w:vertAlign w:val="superscript"/>
        </w:rPr>
        <w:t>1</w:t>
      </w:r>
    </w:p>
    <w:p w14:paraId="0D4CABAF" w14:textId="77777777" w:rsidR="00A8604F" w:rsidRPr="00C07AF1" w:rsidRDefault="005026D8">
      <w:pPr>
        <w:rPr>
          <w:rFonts w:ascii="Times New Roman" w:hAnsi="Times New Roman"/>
        </w:rPr>
      </w:pPr>
      <w:r w:rsidRPr="00C07AF1">
        <w:rPr>
          <w:rFonts w:ascii="Times New Roman" w:hAnsi="Times New Roman"/>
          <w:vertAlign w:val="superscript"/>
        </w:rPr>
        <w:t>1</w:t>
      </w:r>
      <w:r w:rsidR="0099373A" w:rsidRPr="00C07AF1">
        <w:rPr>
          <w:rFonts w:ascii="Times New Roman" w:hAnsi="Times New Roman"/>
        </w:rPr>
        <w:t>CEA, DEN, DANS, DM2S, SEMT, EMSI Laboratory, F-91191 Gif-sur-Yvette, France</w:t>
      </w:r>
    </w:p>
    <w:p w14:paraId="51630528" w14:textId="7C1F8DE0" w:rsidR="00A8604F" w:rsidRPr="006D6A78" w:rsidRDefault="007C09EE">
      <w:r w:rsidRPr="006D6A78">
        <w:rPr>
          <w:rFonts w:ascii="Times New Roman" w:hAnsi="Times New Roman"/>
          <w:i/>
        </w:rPr>
        <w:t>E</w:t>
      </w:r>
      <w:r w:rsidR="00A8604F" w:rsidRPr="006D6A78">
        <w:rPr>
          <w:rFonts w:ascii="Times New Roman" w:hAnsi="Times New Roman"/>
          <w:i/>
        </w:rPr>
        <w:t xml:space="preserve">-mail contact: </w:t>
      </w:r>
      <w:r w:rsidR="0099373A" w:rsidRPr="006D6A78">
        <w:rPr>
          <w:rFonts w:ascii="Times New Roman" w:hAnsi="Times New Roman"/>
          <w:i/>
        </w:rPr>
        <w:t>fan.wang@cea.fr</w:t>
      </w:r>
    </w:p>
    <w:p w14:paraId="5EC9AC4A" w14:textId="77777777" w:rsidR="008955CD" w:rsidRPr="006D6A78" w:rsidRDefault="008955CD">
      <w:pPr>
        <w:pStyle w:val="Textkrper"/>
        <w:rPr>
          <w:rFonts w:ascii="Times New Roman" w:hAnsi="Times New Roman"/>
          <w:b/>
        </w:rPr>
      </w:pPr>
    </w:p>
    <w:p w14:paraId="79E38E23" w14:textId="77777777" w:rsidR="00DF14FD" w:rsidRPr="00C07AF1" w:rsidRDefault="00A8604F" w:rsidP="008104A5">
      <w:pPr>
        <w:rPr>
          <w:sz w:val="20"/>
        </w:rPr>
      </w:pPr>
      <w:r w:rsidRPr="00C07AF1">
        <w:rPr>
          <w:b/>
        </w:rPr>
        <w:t>Abstract</w:t>
      </w:r>
      <w:r w:rsidRPr="00C07AF1">
        <w:t xml:space="preserve">. </w:t>
      </w:r>
      <w:r w:rsidR="0099373A" w:rsidRPr="00F07F2D">
        <w:rPr>
          <w:rFonts w:ascii="Times New Roman" w:hAnsi="Times New Roman"/>
          <w:sz w:val="20"/>
        </w:rPr>
        <w:t>As one of the participants to the international KARISMA Benchmark, we had conducted soil-structure interaction analysis on the Unit 7 reactor building of the Kashiwazaki-Kariwa nuclear power plant (Japan) using a full 3D finite element model. In this paper, we focused on the uncertainty propagation through the soil-structure system. For this purpose, a simplified model representing the largely embedded reactor building has been used for computation efficiency as a large number of numerical simulations were necessary.</w:t>
      </w:r>
      <w:r w:rsidR="008104A5" w:rsidRPr="00F07F2D">
        <w:rPr>
          <w:rFonts w:ascii="Times New Roman" w:hAnsi="Times New Roman"/>
          <w:sz w:val="20"/>
        </w:rPr>
        <w:t xml:space="preserve"> </w:t>
      </w:r>
      <w:r w:rsidR="0099373A" w:rsidRPr="00F07F2D">
        <w:rPr>
          <w:rFonts w:ascii="Times New Roman" w:hAnsi="Times New Roman"/>
          <w:sz w:val="20"/>
        </w:rPr>
        <w:t>Seismic signals generated with NGA GMPE according to the July 2007 NCO earthquake scenario have been used to estimate the fragility curves. In the process, soil non-linearity caused by each seismic signal has been taken into account using the equivalent linear method. The results suggest that defining the control point of the input motion at the soil surface as prescribed in the French nuclear practice is not appropriate and may lead to biased results when performing non-linear soil-structure fragility analysis. The control point should be defined at the “outcropping bedrock” level.</w:t>
      </w:r>
    </w:p>
    <w:p w14:paraId="183C454B" w14:textId="77777777" w:rsidR="009E6BE9" w:rsidRDefault="009E6BE9" w:rsidP="00DF14FD">
      <w:pPr>
        <w:pStyle w:val="Textkrper"/>
        <w:rPr>
          <w:rFonts w:ascii="Times New Roman" w:hAnsi="Times New Roman"/>
          <w:b/>
        </w:rPr>
      </w:pPr>
    </w:p>
    <w:p w14:paraId="29D0CD34" w14:textId="77777777" w:rsidR="00DF14FD" w:rsidRDefault="00DF14FD" w:rsidP="00DF14FD">
      <w:pPr>
        <w:pStyle w:val="Textkrper"/>
        <w:rPr>
          <w:rFonts w:ascii="Times New Roman" w:hAnsi="Times New Roman"/>
        </w:rPr>
      </w:pPr>
      <w:r w:rsidRPr="00C07AF1">
        <w:rPr>
          <w:rFonts w:ascii="Times New Roman" w:hAnsi="Times New Roman"/>
          <w:b/>
        </w:rPr>
        <w:t>Key Words</w:t>
      </w:r>
      <w:r w:rsidRPr="00C07AF1">
        <w:rPr>
          <w:rFonts w:ascii="Times New Roman" w:hAnsi="Times New Roman"/>
        </w:rPr>
        <w:t xml:space="preserve">: </w:t>
      </w:r>
      <w:r w:rsidR="00DF1EB7" w:rsidRPr="00C07AF1">
        <w:rPr>
          <w:rFonts w:ascii="Times New Roman" w:hAnsi="Times New Roman"/>
        </w:rPr>
        <w:t>seismic fragility, soil-structure interaction, equipment, nuclear power plant</w:t>
      </w:r>
      <w:r w:rsidRPr="00C07AF1">
        <w:rPr>
          <w:rFonts w:ascii="Times New Roman" w:hAnsi="Times New Roman"/>
        </w:rPr>
        <w:t>.</w:t>
      </w:r>
    </w:p>
    <w:p w14:paraId="223552D1" w14:textId="77777777" w:rsidR="00317945" w:rsidRPr="00C07AF1" w:rsidRDefault="00317945" w:rsidP="00DF14FD">
      <w:pPr>
        <w:pStyle w:val="Textkrper"/>
        <w:rPr>
          <w:rFonts w:ascii="Times New Roman" w:hAnsi="Times New Roman"/>
        </w:rPr>
      </w:pPr>
    </w:p>
    <w:p w14:paraId="6BFD9DA5" w14:textId="77777777" w:rsidR="004E113E" w:rsidRPr="00C07AF1" w:rsidRDefault="004E113E" w:rsidP="00156B1F">
      <w:pPr>
        <w:pStyle w:val="Titre1"/>
      </w:pPr>
      <w:r w:rsidRPr="00C07AF1">
        <w:t>INTRODUCTION</w:t>
      </w:r>
    </w:p>
    <w:p w14:paraId="4439E658" w14:textId="77777777" w:rsidR="00F30406" w:rsidRDefault="004E113E" w:rsidP="004E113E">
      <w:pPr>
        <w:pStyle w:val="Body"/>
        <w:ind w:firstLine="0"/>
      </w:pPr>
      <w:r w:rsidRPr="00C07AF1">
        <w:t xml:space="preserve">Following the 16 July 2007 Niigataken-Chuetsu-Oki (NCO) earthquake in Japan which affected severely the Kashiwazaki-Kariwa Nuclear Power Plant located just 16 km from the epicentre, the International Atomic Energy Agency (IAEA), launched the KARISMA benchmark (KAshiwazaki-Kariwa Research Initiative for Seismic Margin Assessment) </w:t>
      </w:r>
      <w:r w:rsidR="00ED16EF">
        <w:t>[1] [2]</w:t>
      </w:r>
      <w:r w:rsidRPr="00C07AF1">
        <w:t xml:space="preserve">. The objective was to find out if current simulation methodologies used by different member states were able to capture the main features of the seismic response under strong Soil-Structure Interaction (SSI). As one of the participant to the benchmark, we have conducted seismic soil-structure interaction analysis in which the Unit 7 reactor building and the surrounding soil were modelled by full 3D finite elements and the far-field soil by viscous absorbing boundaries </w:t>
      </w:r>
      <w:r w:rsidR="00ED16EF">
        <w:t>[3]</w:t>
      </w:r>
      <w:r w:rsidRPr="00C07AF1">
        <w:t>.</w:t>
      </w:r>
      <w:r w:rsidR="00F07F2D">
        <w:t xml:space="preserve"> </w:t>
      </w:r>
      <w:r w:rsidRPr="00C07AF1">
        <w:t xml:space="preserve">In this paper, we focus on the uncertainty propagation through the soil-structure system of Unit 7 reactor building with the objective to estimate the fragility curve of some selected plant equipment due to the variability of the input seismic signals. This work is a part of the ongoing French research project SINAPS@ (Earthquake and Nuclear Installations: Ensuring and Sustaining Safety) which aims to explore the uncertainties in databases, knowledge of the physical processes and methods used at each step of the evaluation of the seismic hazard and the vulnerability of structures and equipment </w:t>
      </w:r>
      <w:r w:rsidR="00ED16EF">
        <w:t>[4]</w:t>
      </w:r>
      <w:r w:rsidRPr="00C07AF1">
        <w:t>.</w:t>
      </w:r>
      <w:r w:rsidR="00F07F2D">
        <w:t xml:space="preserve"> </w:t>
      </w:r>
    </w:p>
    <w:p w14:paraId="3C826321" w14:textId="77777777" w:rsidR="00F30406" w:rsidRDefault="00F30406" w:rsidP="004E113E">
      <w:pPr>
        <w:pStyle w:val="Body"/>
        <w:ind w:firstLine="0"/>
      </w:pPr>
    </w:p>
    <w:p w14:paraId="7B95B74D" w14:textId="6192D07F" w:rsidR="004E113E" w:rsidRPr="00C07AF1" w:rsidRDefault="004E113E" w:rsidP="004E113E">
      <w:pPr>
        <w:pStyle w:val="Body"/>
        <w:ind w:firstLine="0"/>
      </w:pPr>
      <w:r w:rsidRPr="00C07AF1">
        <w:t xml:space="preserve">Based on our experience of KARISMA benchmark and for computation efficiency, a simplified model representing the largely embedded reactor building is adopted for the SSI analysis in this study. Soil surface and outcropping bedrock seismic signals generated with NGA GMPE </w:t>
      </w:r>
      <w:r w:rsidR="00E93097">
        <w:t>[5]</w:t>
      </w:r>
      <w:r w:rsidRPr="00C07AF1">
        <w:t xml:space="preserve"> according to the July 2007 NCO earthquake scenario are used to estimate the fragility curve, approximated by the cumulative distribution of a lognormal random variable, of a</w:t>
      </w:r>
      <w:r w:rsidR="00965168">
        <w:t xml:space="preserve"> piece of</w:t>
      </w:r>
      <w:r w:rsidRPr="00C07AF1">
        <w:t xml:space="preserve"> equipment associated with ground-motion variability. The parameters of the curve (median and standard deviation) are evaluated using the principle of maximum likelihood. In the process, soil non-linearity caused by each seismic signal is taken into account using the equivalent linear method through soil column deconvolution.</w:t>
      </w:r>
    </w:p>
    <w:p w14:paraId="39A6089F" w14:textId="77777777" w:rsidR="004E113E" w:rsidRDefault="004E113E" w:rsidP="004E113E">
      <w:pPr>
        <w:pStyle w:val="Body"/>
        <w:ind w:firstLine="0"/>
      </w:pPr>
    </w:p>
    <w:p w14:paraId="006829B1" w14:textId="77777777" w:rsidR="00496132" w:rsidRPr="00C07AF1" w:rsidRDefault="00496132" w:rsidP="004E113E">
      <w:pPr>
        <w:pStyle w:val="Body"/>
        <w:ind w:firstLine="0"/>
      </w:pPr>
    </w:p>
    <w:p w14:paraId="31A59B26" w14:textId="77777777" w:rsidR="004E113E" w:rsidRPr="00C07AF1" w:rsidRDefault="004E113E" w:rsidP="00156B1F">
      <w:pPr>
        <w:pStyle w:val="Titre1"/>
      </w:pPr>
      <w:r w:rsidRPr="00C07AF1">
        <w:lastRenderedPageBreak/>
        <w:t>STRUCTURE MODELS</w:t>
      </w:r>
    </w:p>
    <w:p w14:paraId="393DBD0C" w14:textId="77777777" w:rsidR="004E113E" w:rsidRPr="00C07AF1" w:rsidRDefault="004E113E" w:rsidP="00180189">
      <w:pPr>
        <w:pStyle w:val="Titre2"/>
      </w:pPr>
      <w:r w:rsidRPr="00C07AF1">
        <w:t>KARISMA Benchmark Experience</w:t>
      </w:r>
    </w:p>
    <w:p w14:paraId="108A50B3" w14:textId="1F5A4C48" w:rsidR="004E113E" w:rsidRPr="00C07AF1" w:rsidRDefault="004E113E" w:rsidP="004E113E">
      <w:pPr>
        <w:rPr>
          <w:szCs w:val="24"/>
        </w:rPr>
      </w:pPr>
      <w:r w:rsidRPr="00C07AF1">
        <w:rPr>
          <w:szCs w:val="24"/>
        </w:rPr>
        <w:t xml:space="preserve">During KARISMA benchmark (2009-2013) we conducted full 3D finite element modelling for the structure and the nearby soil using the code CAST3M developed by the CEA (website: </w:t>
      </w:r>
      <w:hyperlink r:id="rId8" w:history="1">
        <w:r w:rsidRPr="00C07AF1">
          <w:rPr>
            <w:rStyle w:val="Lienhypertexte"/>
            <w:szCs w:val="24"/>
          </w:rPr>
          <w:t>http://www-cast3m.cea.fr</w:t>
        </w:r>
      </w:hyperlink>
      <w:r w:rsidRPr="00C07AF1">
        <w:rPr>
          <w:szCs w:val="24"/>
        </w:rPr>
        <w:t xml:space="preserve">). The model (see </w:t>
      </w:r>
      <w:r w:rsidR="007B2141">
        <w:rPr>
          <w:szCs w:val="24"/>
        </w:rPr>
        <w:t>Fig.</w:t>
      </w:r>
      <w:r w:rsidRPr="00C07AF1">
        <w:rPr>
          <w:szCs w:val="24"/>
        </w:rPr>
        <w:t xml:space="preserve"> 1) was composed of about 150 000 finite elements and the far-field soil which extends to infinity (lateral sides and bottom) was represented by viscous absorbing boundaries </w:t>
      </w:r>
      <w:r w:rsidR="00E93097">
        <w:rPr>
          <w:szCs w:val="24"/>
        </w:rPr>
        <w:t>[6]</w:t>
      </w:r>
      <w:r w:rsidRPr="00C07AF1">
        <w:rPr>
          <w:szCs w:val="24"/>
        </w:rPr>
        <w:t xml:space="preserve">. </w:t>
      </w:r>
    </w:p>
    <w:p w14:paraId="2546A69D" w14:textId="77777777" w:rsidR="004E113E" w:rsidRPr="00C07AF1" w:rsidRDefault="004E113E" w:rsidP="004E113E">
      <w:pPr>
        <w:pStyle w:val="Body"/>
        <w:ind w:firstLine="0"/>
      </w:pPr>
    </w:p>
    <w:p w14:paraId="2272A8BB" w14:textId="77777777" w:rsidR="004E113E" w:rsidRPr="00C07AF1" w:rsidRDefault="004E113E" w:rsidP="004E113E">
      <w:pPr>
        <w:jc w:val="center"/>
        <w:rPr>
          <w:rFonts w:eastAsia="Times New Roman"/>
          <w:szCs w:val="24"/>
        </w:rPr>
      </w:pPr>
      <w:r w:rsidRPr="00C07AF1">
        <w:rPr>
          <w:rFonts w:eastAsia="Times New Roman"/>
          <w:noProof/>
          <w:szCs w:val="24"/>
          <w:lang w:val="fr-FR" w:eastAsia="fr-FR"/>
        </w:rPr>
        <mc:AlternateContent>
          <mc:Choice Requires="wps">
            <w:drawing>
              <wp:anchor distT="0" distB="0" distL="114300" distR="114300" simplePos="0" relativeHeight="251662336" behindDoc="0" locked="0" layoutInCell="1" allowOverlap="1" wp14:anchorId="7781069B" wp14:editId="2BE74F09">
                <wp:simplePos x="0" y="0"/>
                <wp:positionH relativeFrom="column">
                  <wp:posOffset>2245360</wp:posOffset>
                </wp:positionH>
                <wp:positionV relativeFrom="paragraph">
                  <wp:posOffset>1069975</wp:posOffset>
                </wp:positionV>
                <wp:extent cx="1173480" cy="928370"/>
                <wp:effectExtent l="6985" t="12700" r="10160" b="11430"/>
                <wp:wrapNone/>
                <wp:docPr id="3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928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268583" id="_x0000_t32" coordsize="21600,21600" o:spt="32" o:oned="t" path="m,l21600,21600e" filled="f">
                <v:path arrowok="t" fillok="f" o:connecttype="none"/>
                <o:lock v:ext="edit" shapetype="t"/>
              </v:shapetype>
              <v:shape id="AutoShape 4" o:spid="_x0000_s1026" type="#_x0000_t32" style="position:absolute;margin-left:176.8pt;margin-top:84.25pt;width:92.4pt;height:7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jvJAIAAEE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"/>
            </w:pict>
          </mc:Fallback>
        </mc:AlternateContent>
      </w:r>
      <w:r w:rsidRPr="00C07AF1">
        <w:rPr>
          <w:rFonts w:eastAsia="Times New Roman"/>
          <w:noProof/>
          <w:szCs w:val="24"/>
          <w:lang w:val="fr-FR" w:eastAsia="fr-FR"/>
        </w:rPr>
        <mc:AlternateContent>
          <mc:Choice Requires="wps">
            <w:drawing>
              <wp:anchor distT="0" distB="0" distL="114300" distR="114300" simplePos="0" relativeHeight="251660288" behindDoc="0" locked="0" layoutInCell="1" allowOverlap="1" wp14:anchorId="63CFE74E" wp14:editId="39E98FC6">
                <wp:simplePos x="0" y="0"/>
                <wp:positionH relativeFrom="column">
                  <wp:posOffset>1644650</wp:posOffset>
                </wp:positionH>
                <wp:positionV relativeFrom="paragraph">
                  <wp:posOffset>639445</wp:posOffset>
                </wp:positionV>
                <wp:extent cx="600710" cy="436880"/>
                <wp:effectExtent l="6350" t="10795" r="12065" b="9525"/>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 cy="43688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3FA0D" id="Rectangle 2" o:spid="_x0000_s1026" style="position:absolute;margin-left:129.5pt;margin-top:50.35pt;width:47.3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">
                <v:fill opacity="0"/>
              </v:rect>
            </w:pict>
          </mc:Fallback>
        </mc:AlternateContent>
      </w:r>
      <w:r w:rsidRPr="00C07AF1">
        <w:rPr>
          <w:rFonts w:eastAsia="Times New Roman"/>
          <w:noProof/>
          <w:szCs w:val="24"/>
          <w:lang w:val="fr-FR" w:eastAsia="fr-FR"/>
        </w:rPr>
        <mc:AlternateContent>
          <mc:Choice Requires="wps">
            <w:drawing>
              <wp:anchor distT="0" distB="0" distL="114300" distR="114300" simplePos="0" relativeHeight="251661312" behindDoc="0" locked="0" layoutInCell="1" allowOverlap="1" wp14:anchorId="503D831C" wp14:editId="62DB9D64">
                <wp:simplePos x="0" y="0"/>
                <wp:positionH relativeFrom="column">
                  <wp:posOffset>2245360</wp:posOffset>
                </wp:positionH>
                <wp:positionV relativeFrom="paragraph">
                  <wp:posOffset>257175</wp:posOffset>
                </wp:positionV>
                <wp:extent cx="1173480" cy="382270"/>
                <wp:effectExtent l="6985" t="9525" r="10160" b="8255"/>
                <wp:wrapNone/>
                <wp:docPr id="3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3480" cy="382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84F97" id="AutoShape 3" o:spid="_x0000_s1026" type="#_x0000_t32" style="position:absolute;margin-left:176.8pt;margin-top:20.25pt;width:92.4pt;height:30.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rhLA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"/>
            </w:pict>
          </mc:Fallback>
        </mc:AlternateContent>
      </w:r>
      <w:r w:rsidRPr="00C07AF1">
        <w:rPr>
          <w:rFonts w:eastAsia="Times New Roman"/>
          <w:noProof/>
          <w:szCs w:val="24"/>
          <w:lang w:val="fr-FR" w:eastAsia="fr-FR"/>
        </w:rPr>
        <w:drawing>
          <wp:inline distT="0" distB="0" distL="0" distR="0" wp14:anchorId="1E31E577" wp14:editId="7B3CBB6D">
            <wp:extent cx="2695575" cy="2247900"/>
            <wp:effectExtent l="0" t="0" r="9525" b="0"/>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7024" r="8058" b="13716"/>
                    <a:stretch>
                      <a:fillRect/>
                    </a:stretch>
                  </pic:blipFill>
                  <pic:spPr bwMode="auto">
                    <a:xfrm>
                      <a:off x="0" y="0"/>
                      <a:ext cx="2695575" cy="2247900"/>
                    </a:xfrm>
                    <a:prstGeom prst="rect">
                      <a:avLst/>
                    </a:prstGeom>
                    <a:noFill/>
                    <a:ln>
                      <a:noFill/>
                    </a:ln>
                  </pic:spPr>
                </pic:pic>
              </a:graphicData>
            </a:graphic>
          </wp:inline>
        </w:drawing>
      </w:r>
      <w:r w:rsidRPr="00C07AF1">
        <w:rPr>
          <w:rFonts w:eastAsia="Times New Roman"/>
          <w:noProof/>
          <w:szCs w:val="24"/>
          <w:lang w:val="fr-FR" w:eastAsia="fr-FR"/>
        </w:rPr>
        <w:drawing>
          <wp:inline distT="0" distB="0" distL="0" distR="0" wp14:anchorId="63EF4373" wp14:editId="6CFB808B">
            <wp:extent cx="2847975" cy="1981200"/>
            <wp:effectExtent l="0" t="0" r="9525"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cstate="print">
                      <a:extLst>
                        <a:ext uri="{28A0092B-C50C-407E-A947-70E740481C1C}">
                          <a14:useLocalDpi xmlns:a14="http://schemas.microsoft.com/office/drawing/2010/main" val="0"/>
                        </a:ext>
                      </a:extLst>
                    </a:blip>
                    <a:srcRect l="-21469" r="1471" b="-14056"/>
                    <a:stretch>
                      <a:fillRect/>
                    </a:stretch>
                  </pic:blipFill>
                  <pic:spPr bwMode="auto">
                    <a:xfrm>
                      <a:off x="0" y="0"/>
                      <a:ext cx="2847975" cy="1981200"/>
                    </a:xfrm>
                    <a:prstGeom prst="rect">
                      <a:avLst/>
                    </a:prstGeom>
                    <a:noFill/>
                    <a:ln>
                      <a:noFill/>
                    </a:ln>
                  </pic:spPr>
                </pic:pic>
              </a:graphicData>
            </a:graphic>
          </wp:inline>
        </w:drawing>
      </w:r>
    </w:p>
    <w:p w14:paraId="23BFE3A7" w14:textId="77777777" w:rsidR="004E113E" w:rsidRPr="00C07AF1" w:rsidRDefault="004E113E" w:rsidP="004E113E">
      <w:pPr>
        <w:pStyle w:val="Body"/>
        <w:ind w:firstLine="0"/>
      </w:pPr>
    </w:p>
    <w:p w14:paraId="138D4FB8" w14:textId="662D2060" w:rsidR="004E113E" w:rsidRPr="00D22A1F" w:rsidRDefault="007B2141" w:rsidP="004E113E">
      <w:pPr>
        <w:jc w:val="center"/>
        <w:rPr>
          <w:i/>
          <w:sz w:val="22"/>
          <w:szCs w:val="22"/>
        </w:rPr>
      </w:pPr>
      <w:r w:rsidRPr="00D22A1F">
        <w:rPr>
          <w:i/>
          <w:sz w:val="22"/>
          <w:szCs w:val="22"/>
        </w:rPr>
        <w:t>Fig.</w:t>
      </w:r>
      <w:r w:rsidR="004E113E" w:rsidRPr="00D22A1F">
        <w:rPr>
          <w:i/>
          <w:sz w:val="22"/>
          <w:szCs w:val="22"/>
        </w:rPr>
        <w:t xml:space="preserve"> 1. Full 3D finite element modelling of the reactor building and the near field soil used for KARISMA benchmark </w:t>
      </w:r>
      <w:r w:rsidR="00E93097">
        <w:rPr>
          <w:i/>
          <w:sz w:val="22"/>
          <w:szCs w:val="22"/>
        </w:rPr>
        <w:t>[3]</w:t>
      </w:r>
    </w:p>
    <w:p w14:paraId="2F37F55A" w14:textId="77777777" w:rsidR="004E113E" w:rsidRDefault="004E113E"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3712"/>
      </w:tblGrid>
      <w:tr w:rsidR="006C4554" w14:paraId="24D68F75" w14:textId="77777777" w:rsidTr="002F563F">
        <w:trPr>
          <w:trHeight w:val="1434"/>
        </w:trPr>
        <w:tc>
          <w:tcPr>
            <w:tcW w:w="5346" w:type="dxa"/>
            <w:vMerge w:val="restart"/>
            <w:vAlign w:val="center"/>
          </w:tcPr>
          <w:p w14:paraId="10CC3752" w14:textId="77777777" w:rsidR="006C4554" w:rsidRDefault="00F12D73" w:rsidP="002F563F">
            <w:pPr>
              <w:pStyle w:val="Body"/>
              <w:ind w:firstLine="0"/>
              <w:jc w:val="center"/>
            </w:pPr>
            <w:r w:rsidRPr="00A01161">
              <w:rPr>
                <w:noProof/>
                <w:lang w:val="fr-FR" w:eastAsia="fr-FR"/>
              </w:rPr>
              <w:drawing>
                <wp:inline distT="0" distB="0" distL="0" distR="0" wp14:anchorId="077F58AC" wp14:editId="3B7981D8">
                  <wp:extent cx="3264671" cy="28800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4671" cy="2880000"/>
                          </a:xfrm>
                          <a:prstGeom prst="rect">
                            <a:avLst/>
                          </a:prstGeom>
                          <a:noFill/>
                          <a:ln>
                            <a:noFill/>
                          </a:ln>
                        </pic:spPr>
                      </pic:pic>
                    </a:graphicData>
                  </a:graphic>
                </wp:inline>
              </w:drawing>
            </w:r>
          </w:p>
        </w:tc>
        <w:tc>
          <w:tcPr>
            <w:tcW w:w="3713" w:type="dxa"/>
            <w:vAlign w:val="center"/>
          </w:tcPr>
          <w:p w14:paraId="0572EC0E" w14:textId="77777777" w:rsidR="006C4554" w:rsidRDefault="002F563F" w:rsidP="002F563F">
            <w:pPr>
              <w:pStyle w:val="Body"/>
              <w:ind w:firstLine="0"/>
              <w:jc w:val="center"/>
            </w:pPr>
            <w:r>
              <w:rPr>
                <w:rFonts w:eastAsia="Times New Roman"/>
                <w:noProof/>
                <w:lang w:val="fr-FR" w:eastAsia="fr-FR"/>
              </w:rPr>
              <w:drawing>
                <wp:inline distT="0" distB="0" distL="0" distR="0" wp14:anchorId="3F77209F" wp14:editId="582B55D7">
                  <wp:extent cx="2162405" cy="1620000"/>
                  <wp:effectExtent l="0" t="0" r="9525" b="0"/>
                  <wp:docPr id="24" name="Image 24" descr="X:\MATLABWORK\ANR_SINAPS\ETUDE_ARTICLE_WCEE2017\FIG_BESTPSHANI_2018\GsG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TLABWORK\ANR_SINAPS\ETUDE_ARTICLE_WCEE2017\FIG_BESTPSHANI_2018\GsG0.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405" cy="1620000"/>
                          </a:xfrm>
                          <a:prstGeom prst="rect">
                            <a:avLst/>
                          </a:prstGeom>
                          <a:noFill/>
                          <a:ln>
                            <a:noFill/>
                          </a:ln>
                        </pic:spPr>
                      </pic:pic>
                    </a:graphicData>
                  </a:graphic>
                </wp:inline>
              </w:drawing>
            </w:r>
          </w:p>
        </w:tc>
      </w:tr>
      <w:tr w:rsidR="006C4554" w14:paraId="272B3912" w14:textId="77777777" w:rsidTr="002F563F">
        <w:trPr>
          <w:trHeight w:val="1435"/>
        </w:trPr>
        <w:tc>
          <w:tcPr>
            <w:tcW w:w="5346" w:type="dxa"/>
            <w:vMerge/>
            <w:vAlign w:val="center"/>
          </w:tcPr>
          <w:p w14:paraId="564A4216" w14:textId="77777777" w:rsidR="006C4554" w:rsidRPr="00C07AF1" w:rsidRDefault="006C4554" w:rsidP="002F563F">
            <w:pPr>
              <w:pStyle w:val="Body"/>
              <w:ind w:firstLine="0"/>
              <w:jc w:val="center"/>
              <w:rPr>
                <w:rFonts w:eastAsia="Times New Roman"/>
                <w:noProof/>
                <w:lang w:val="fr-FR" w:eastAsia="fr-FR"/>
              </w:rPr>
            </w:pPr>
          </w:p>
        </w:tc>
        <w:tc>
          <w:tcPr>
            <w:tcW w:w="3713" w:type="dxa"/>
            <w:vAlign w:val="center"/>
          </w:tcPr>
          <w:p w14:paraId="79D623E0" w14:textId="77777777" w:rsidR="006C4554" w:rsidRDefault="002F563F" w:rsidP="002F563F">
            <w:pPr>
              <w:pStyle w:val="Body"/>
              <w:ind w:firstLine="0"/>
              <w:jc w:val="center"/>
            </w:pPr>
            <w:r>
              <w:rPr>
                <w:rFonts w:eastAsia="Times New Roman"/>
                <w:noProof/>
                <w:lang w:val="fr-FR" w:eastAsia="fr-FR"/>
              </w:rPr>
              <w:drawing>
                <wp:inline distT="0" distB="0" distL="0" distR="0" wp14:anchorId="11891065" wp14:editId="5246ACC3">
                  <wp:extent cx="2162406" cy="1620000"/>
                  <wp:effectExtent l="0" t="0" r="9525" b="0"/>
                  <wp:docPr id="36" name="Image 36" descr="X:\MATLABWORK\ANR_SINAPS\ETUDE_ARTICLE_WCEE2017\FIG_BESTPSHANI_2018\Dampin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MATLABWORK\ANR_SINAPS\ETUDE_ARTICLE_WCEE2017\FIG_BESTPSHANI_2018\Damping.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406" cy="1620000"/>
                          </a:xfrm>
                          <a:prstGeom prst="rect">
                            <a:avLst/>
                          </a:prstGeom>
                          <a:noFill/>
                          <a:ln>
                            <a:noFill/>
                          </a:ln>
                        </pic:spPr>
                      </pic:pic>
                    </a:graphicData>
                  </a:graphic>
                </wp:inline>
              </w:drawing>
            </w:r>
          </w:p>
        </w:tc>
      </w:tr>
      <w:tr w:rsidR="006C4554" w:rsidRPr="00D22A1F" w14:paraId="02006C86" w14:textId="77777777" w:rsidTr="002F563F">
        <w:trPr>
          <w:trHeight w:val="1435"/>
        </w:trPr>
        <w:tc>
          <w:tcPr>
            <w:tcW w:w="5346" w:type="dxa"/>
            <w:vAlign w:val="center"/>
          </w:tcPr>
          <w:p w14:paraId="40392235" w14:textId="6C3FE1E2" w:rsidR="006C4554" w:rsidRPr="00D22A1F" w:rsidRDefault="006C4554" w:rsidP="00E93097">
            <w:pPr>
              <w:pStyle w:val="Body"/>
              <w:ind w:firstLine="0"/>
              <w:jc w:val="center"/>
              <w:rPr>
                <w:i/>
                <w:sz w:val="22"/>
                <w:szCs w:val="22"/>
              </w:rPr>
            </w:pPr>
            <w:r w:rsidRPr="00D22A1F">
              <w:rPr>
                <w:i/>
                <w:iCs/>
                <w:sz w:val="22"/>
                <w:szCs w:val="22"/>
              </w:rPr>
              <w:t xml:space="preserve">Table 1: Soil properties near Unit 7 reactor building </w:t>
            </w:r>
            <w:r w:rsidR="00E93097">
              <w:rPr>
                <w:i/>
                <w:iCs/>
                <w:sz w:val="22"/>
                <w:szCs w:val="22"/>
              </w:rPr>
              <w:t>[1]</w:t>
            </w:r>
          </w:p>
        </w:tc>
        <w:tc>
          <w:tcPr>
            <w:tcW w:w="3713" w:type="dxa"/>
            <w:vAlign w:val="center"/>
          </w:tcPr>
          <w:p w14:paraId="6AE22DB5" w14:textId="69C9813A" w:rsidR="006C4554" w:rsidRPr="00D22A1F" w:rsidRDefault="007B2141" w:rsidP="00E93097">
            <w:pPr>
              <w:pStyle w:val="Body"/>
              <w:ind w:firstLine="0"/>
              <w:jc w:val="center"/>
              <w:rPr>
                <w:i/>
                <w:sz w:val="22"/>
                <w:szCs w:val="22"/>
              </w:rPr>
            </w:pPr>
            <w:r w:rsidRPr="00D22A1F">
              <w:rPr>
                <w:i/>
                <w:sz w:val="22"/>
                <w:szCs w:val="22"/>
              </w:rPr>
              <w:t>Fig.</w:t>
            </w:r>
            <w:r w:rsidR="00C1349D" w:rsidRPr="00D22A1F">
              <w:rPr>
                <w:i/>
                <w:sz w:val="22"/>
                <w:szCs w:val="22"/>
              </w:rPr>
              <w:t xml:space="preserve"> 2. Strain dependent shear modulus and damping ratio of the soil near Unit 7 reactor building </w:t>
            </w:r>
            <w:r w:rsidR="00E93097">
              <w:rPr>
                <w:i/>
                <w:sz w:val="22"/>
                <w:szCs w:val="22"/>
              </w:rPr>
              <w:t>[1]</w:t>
            </w:r>
          </w:p>
        </w:tc>
      </w:tr>
    </w:tbl>
    <w:p w14:paraId="654FF638" w14:textId="77777777" w:rsidR="006C4554" w:rsidRDefault="006C4554" w:rsidP="004E113E">
      <w:pPr>
        <w:pStyle w:val="Body"/>
        <w:ind w:firstLine="0"/>
      </w:pPr>
    </w:p>
    <w:p w14:paraId="47A59C43" w14:textId="77777777" w:rsidR="004E113E" w:rsidRDefault="004E113E" w:rsidP="004E113E">
      <w:pPr>
        <w:pStyle w:val="Body"/>
        <w:ind w:firstLine="0"/>
      </w:pPr>
      <w:r w:rsidRPr="00C07AF1">
        <w:t xml:space="preserve">The properties of soil layers are given in Table 1. Strain-dependant shear modulus (G/G0) and damping ratio for sand, clay and rock layers which constitute the soil profile are plotted in </w:t>
      </w:r>
      <w:r w:rsidR="007B2141">
        <w:t>Fig.</w:t>
      </w:r>
      <w:r w:rsidRPr="00C07AF1">
        <w:t xml:space="preserve"> 2 which allowed to take into account soil non-linearity caused by the earthquake in a linear equivalent way. The principal lateral-resisting members of the structure, i.e. the exterior walls and the Reinforced Concrete Containment Vessel (RCCV), were assigned non-linear constitutive laws in case they exhibit non-linear behaviours.</w:t>
      </w:r>
    </w:p>
    <w:p w14:paraId="16AE559E" w14:textId="77777777" w:rsidR="006D0E5A" w:rsidRPr="00C07AF1" w:rsidRDefault="006D0E5A" w:rsidP="004E113E">
      <w:pPr>
        <w:pStyle w:val="Body"/>
        <w:ind w:firstLine="0"/>
      </w:pPr>
    </w:p>
    <w:p w14:paraId="37687F9F" w14:textId="726F7E16" w:rsidR="004E113E" w:rsidRPr="00C07AF1" w:rsidRDefault="004E113E" w:rsidP="004E113E">
      <w:pPr>
        <w:pStyle w:val="Body"/>
        <w:ind w:firstLine="0"/>
      </w:pPr>
      <w:r w:rsidRPr="00C07AF1">
        <w:t xml:space="preserve">Time domain integration was carried out directly on the coupled soil-structure system. The analysis has given good results compared to the recorded in-structure response during NCO earthquake </w:t>
      </w:r>
      <w:r w:rsidR="00E93097">
        <w:t>[3]</w:t>
      </w:r>
      <w:r w:rsidRPr="00C07AF1">
        <w:t xml:space="preserve">. The benchmark experience has led to some very important guidelines for our current study: </w:t>
      </w:r>
    </w:p>
    <w:p w14:paraId="3EF4C2F7" w14:textId="4309FE7D" w:rsidR="004E113E" w:rsidRPr="00C07AF1" w:rsidRDefault="004E113E" w:rsidP="00C07AF1">
      <w:pPr>
        <w:pStyle w:val="Body"/>
        <w:numPr>
          <w:ilvl w:val="0"/>
          <w:numId w:val="14"/>
        </w:numPr>
      </w:pPr>
      <w:r w:rsidRPr="00C07AF1">
        <w:t>The reactor building remained linear elastic for the NCO earthquake in the full 3D FEM analysis despite the very strong surface motion recorded on the site (PGA = 1.22g EW) and this is consistent with the post-earthquake observations that no significant concrete cracking were seen on the building. Consequently, we can use an elastic model for the reactor building provided that the input seismic signals are not significantly stronger than the recorded NCOE in terms of PGA level.</w:t>
      </w:r>
    </w:p>
    <w:p w14:paraId="4EE84D27" w14:textId="3A450109" w:rsidR="004E113E" w:rsidRPr="00C07AF1" w:rsidRDefault="004E113E" w:rsidP="00C07AF1">
      <w:pPr>
        <w:pStyle w:val="Body"/>
        <w:numPr>
          <w:ilvl w:val="0"/>
          <w:numId w:val="14"/>
        </w:numPr>
      </w:pPr>
      <w:r w:rsidRPr="00C07AF1">
        <w:t xml:space="preserve">Soil non-linearity was very strong as the linear equivalent soil model obtained by the benchmark organizer through soil column deconvolution showed shear modulus reductions greater than 90% near the ground surface. The largest shear strain of the soil column was actually 0.72% which is largely beyond the commonly admitted limit of 0.1% soil strain </w:t>
      </w:r>
      <w:r w:rsidR="00E93097">
        <w:t>[7]</w:t>
      </w:r>
      <w:r w:rsidRPr="00C07AF1">
        <w:t xml:space="preserve"> and yet the numerical results based on this model were in good agreement with the recorded in-structure responses. We think it is reasonable to restraint the maximum soil strain to 0.8% in our study. This means that all input signals which create soil strain beyond this threshold will be eliminated from the simulation. We can thus expect that the input signals used in the simulations will not exceed significantly the site-recorded motions in terms of intensity.</w:t>
      </w:r>
    </w:p>
    <w:p w14:paraId="40E4BFB0" w14:textId="77777777" w:rsidR="004E113E" w:rsidRDefault="004E113E" w:rsidP="00156B1F">
      <w:pPr>
        <w:pStyle w:val="Body"/>
        <w:numPr>
          <w:ilvl w:val="0"/>
          <w:numId w:val="14"/>
        </w:numPr>
      </w:pPr>
      <w:r w:rsidRPr="00C07AF1">
        <w:t>Our 3D full FEM analyses have given good results but they are rather time consuming in terms of computing and are not suitable for our current study in which a large number of numerical simulations will be necessary to construct the fragility curves. Therefore a simplified soil-structure model is nee</w:t>
      </w:r>
      <w:r w:rsidR="00156B1F">
        <w:t>ded for computation efficiency.</w:t>
      </w:r>
    </w:p>
    <w:p w14:paraId="7121B8EF" w14:textId="77777777" w:rsidR="00F30406" w:rsidRPr="00C07AF1" w:rsidRDefault="00F30406" w:rsidP="009C4639">
      <w:pPr>
        <w:pStyle w:val="Body"/>
        <w:ind w:firstLine="0"/>
      </w:pPr>
    </w:p>
    <w:p w14:paraId="229A99B5" w14:textId="77777777" w:rsidR="004E113E" w:rsidRPr="00C07AF1" w:rsidRDefault="004E113E" w:rsidP="00180189">
      <w:pPr>
        <w:pStyle w:val="Titre2"/>
      </w:pPr>
      <w:r w:rsidRPr="00C07AF1">
        <w:t>Simplified Model Used in the Current Study</w:t>
      </w:r>
    </w:p>
    <w:p w14:paraId="20077545" w14:textId="0445979B" w:rsidR="004E113E" w:rsidRPr="00C07AF1" w:rsidRDefault="004E113E" w:rsidP="004E113E">
      <w:pPr>
        <w:pStyle w:val="Body"/>
        <w:ind w:firstLine="0"/>
      </w:pPr>
      <w:r w:rsidRPr="00C07AF1">
        <w:t xml:space="preserve">The need to simplify the system model concerns the building structure as well as the foundation soil. To make the </w:t>
      </w:r>
      <w:r w:rsidR="00571E80" w:rsidRPr="00C07AF1">
        <w:t>modelling</w:t>
      </w:r>
      <w:r w:rsidRPr="00C07AF1">
        <w:t xml:space="preserve"> representative, it is necessary to take into account the large embedment of the building and the flexibility of the soil-building interface. These two features of the benchmark reactor building can play important roles in the soil-structure interaction but do not exist or are often considered negligible for the nuclear power plants built in France.</w:t>
      </w:r>
    </w:p>
    <w:p w14:paraId="592A9A9A" w14:textId="3564644B" w:rsidR="004E113E" w:rsidRPr="00C07AF1" w:rsidRDefault="004E113E" w:rsidP="004E113E">
      <w:pPr>
        <w:spacing w:after="200"/>
        <w:rPr>
          <w:rFonts w:eastAsia="Times New Roman"/>
          <w:szCs w:val="24"/>
          <w:lang w:eastAsia="pt-BR"/>
        </w:rPr>
      </w:pPr>
      <w:r w:rsidRPr="00C07AF1">
        <w:rPr>
          <w:rFonts w:eastAsia="Times New Roman"/>
          <w:szCs w:val="24"/>
          <w:lang w:eastAsia="pt-BR"/>
        </w:rPr>
        <w:t>A lumped-mass stick model (</w:t>
      </w:r>
      <w:r w:rsidR="007B2141">
        <w:rPr>
          <w:rFonts w:eastAsia="Times New Roman"/>
          <w:szCs w:val="24"/>
          <w:lang w:eastAsia="pt-BR"/>
        </w:rPr>
        <w:t>Fig.</w:t>
      </w:r>
      <w:r w:rsidRPr="00C07AF1">
        <w:rPr>
          <w:rFonts w:eastAsia="Times New Roman"/>
          <w:szCs w:val="24"/>
          <w:lang w:eastAsia="pt-BR"/>
        </w:rPr>
        <w:t xml:space="preserve"> 3 below) for the reactor building, used by TEPCO</w:t>
      </w:r>
      <w:r w:rsidRPr="00C07AF1">
        <w:rPr>
          <w:szCs w:val="24"/>
        </w:rPr>
        <w:t xml:space="preserve"> </w:t>
      </w:r>
      <w:r w:rsidR="00E93097">
        <w:rPr>
          <w:szCs w:val="24"/>
        </w:rPr>
        <w:t>[1]</w:t>
      </w:r>
      <w:r w:rsidRPr="00C07AF1">
        <w:rPr>
          <w:rFonts w:eastAsia="Times New Roman"/>
          <w:szCs w:val="24"/>
          <w:lang w:eastAsia="pt-BR"/>
        </w:rPr>
        <w:t xml:space="preserve">, the owner of the power plant has been adopted and implemented in the Code CAST3M for the current work. </w:t>
      </w:r>
      <w:r w:rsidR="00571E80">
        <w:rPr>
          <w:rFonts w:eastAsia="Times New Roman"/>
          <w:szCs w:val="24"/>
          <w:lang w:eastAsia="pt-BR"/>
        </w:rPr>
        <w:t xml:space="preserve">In the figure and the following text, the NS, EW and vertical directions are respectively designated as X, Y and Z directions. </w:t>
      </w:r>
      <w:r w:rsidRPr="00C07AF1">
        <w:rPr>
          <w:rFonts w:eastAsia="Times New Roman"/>
          <w:szCs w:val="24"/>
          <w:lang w:eastAsia="pt-BR"/>
        </w:rPr>
        <w:t>This is a very simple finite element model</w:t>
      </w:r>
      <w:r w:rsidR="00E93097">
        <w:rPr>
          <w:rFonts w:eastAsia="Times New Roman"/>
          <w:szCs w:val="24"/>
          <w:lang w:eastAsia="pt-BR"/>
        </w:rPr>
        <w:t>,</w:t>
      </w:r>
      <w:r w:rsidR="00180189">
        <w:rPr>
          <w:rFonts w:eastAsia="Times New Roman"/>
          <w:szCs w:val="24"/>
          <w:lang w:eastAsia="pt-BR"/>
        </w:rPr>
        <w:t xml:space="preserve"> </w:t>
      </w:r>
      <w:r w:rsidR="00E93097">
        <w:rPr>
          <w:rFonts w:eastAsia="Times New Roman"/>
          <w:szCs w:val="24"/>
          <w:lang w:eastAsia="pt-BR"/>
        </w:rPr>
        <w:t>b</w:t>
      </w:r>
      <w:r w:rsidRPr="00C07AF1">
        <w:rPr>
          <w:rFonts w:eastAsia="Times New Roman"/>
          <w:szCs w:val="24"/>
          <w:lang w:eastAsia="pt-BR"/>
        </w:rPr>
        <w:t>ut it can describe the two main features of the building mentioned above.</w:t>
      </w:r>
      <w:r w:rsidR="006D0E5A">
        <w:rPr>
          <w:rFonts w:eastAsia="Times New Roman"/>
          <w:szCs w:val="24"/>
          <w:lang w:eastAsia="pt-BR"/>
        </w:rPr>
        <w:t xml:space="preserve"> </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3884"/>
      </w:tblGrid>
      <w:tr w:rsidR="00D61B8C" w14:paraId="7D5E4158" w14:textId="77777777" w:rsidTr="00D61B8C">
        <w:tc>
          <w:tcPr>
            <w:tcW w:w="4529" w:type="dxa"/>
            <w:vAlign w:val="center"/>
          </w:tcPr>
          <w:p w14:paraId="2A3FE009" w14:textId="56C47ACE" w:rsidR="00D61B8C" w:rsidRDefault="00D61B8C" w:rsidP="00D61B8C">
            <w:pPr>
              <w:spacing w:after="200"/>
              <w:jc w:val="center"/>
              <w:rPr>
                <w:rFonts w:eastAsia="Times New Roman"/>
                <w:szCs w:val="24"/>
                <w:lang w:eastAsia="pt-BR"/>
              </w:rPr>
            </w:pPr>
            <w:r w:rsidRPr="00C07AF1">
              <w:rPr>
                <w:rFonts w:eastAsia="Times New Roman"/>
                <w:noProof/>
                <w:szCs w:val="24"/>
                <w:lang w:val="fr-FR" w:eastAsia="fr-FR"/>
              </w:rPr>
              <w:lastRenderedPageBreak/>
              <w:drawing>
                <wp:inline distT="0" distB="0" distL="0" distR="0" wp14:anchorId="09C022BA" wp14:editId="2B00F6CA">
                  <wp:extent cx="2581275" cy="2305050"/>
                  <wp:effectExtent l="0" t="0" r="9525" b="0"/>
                  <wp:docPr id="8" name="Imag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1275" cy="2305050"/>
                          </a:xfrm>
                          <a:prstGeom prst="rect">
                            <a:avLst/>
                          </a:prstGeom>
                          <a:noFill/>
                          <a:ln>
                            <a:noFill/>
                          </a:ln>
                        </pic:spPr>
                      </pic:pic>
                    </a:graphicData>
                  </a:graphic>
                </wp:inline>
              </w:drawing>
            </w:r>
          </w:p>
        </w:tc>
        <w:tc>
          <w:tcPr>
            <w:tcW w:w="4530" w:type="dxa"/>
            <w:vAlign w:val="center"/>
          </w:tcPr>
          <w:p w14:paraId="6F828612" w14:textId="77777777" w:rsidR="00D61B8C" w:rsidRDefault="00D61B8C" w:rsidP="00D61B8C">
            <w:pPr>
              <w:spacing w:after="200"/>
              <w:jc w:val="center"/>
              <w:rPr>
                <w:rFonts w:eastAsia="Times New Roman"/>
                <w:szCs w:val="24"/>
                <w:lang w:eastAsia="pt-BR"/>
              </w:rPr>
            </w:pPr>
            <w:r w:rsidRPr="00C07AF1">
              <w:rPr>
                <w:rFonts w:eastAsia="Times New Roman"/>
                <w:noProof/>
                <w:szCs w:val="24"/>
                <w:lang w:val="fr-FR" w:eastAsia="fr-FR"/>
              </w:rPr>
              <w:drawing>
                <wp:inline distT="0" distB="0" distL="0" distR="0" wp14:anchorId="5F086638" wp14:editId="60464D15">
                  <wp:extent cx="1238250" cy="2371725"/>
                  <wp:effectExtent l="0" t="0" r="0" b="9525"/>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5">
                            <a:extLst>
                              <a:ext uri="{28A0092B-C50C-407E-A947-70E740481C1C}">
                                <a14:useLocalDpi xmlns:a14="http://schemas.microsoft.com/office/drawing/2010/main" val="0"/>
                              </a:ext>
                            </a:extLst>
                          </a:blip>
                          <a:srcRect b="5905"/>
                          <a:stretch>
                            <a:fillRect/>
                          </a:stretch>
                        </pic:blipFill>
                        <pic:spPr bwMode="auto">
                          <a:xfrm>
                            <a:off x="0" y="0"/>
                            <a:ext cx="1238250" cy="2371725"/>
                          </a:xfrm>
                          <a:prstGeom prst="rect">
                            <a:avLst/>
                          </a:prstGeom>
                          <a:noFill/>
                          <a:ln>
                            <a:noFill/>
                          </a:ln>
                        </pic:spPr>
                      </pic:pic>
                    </a:graphicData>
                  </a:graphic>
                </wp:inline>
              </w:drawing>
            </w:r>
          </w:p>
        </w:tc>
      </w:tr>
      <w:tr w:rsidR="00D61B8C" w14:paraId="434F2A39" w14:textId="77777777" w:rsidTr="00D61B8C">
        <w:trPr>
          <w:trHeight w:val="293"/>
        </w:trPr>
        <w:tc>
          <w:tcPr>
            <w:tcW w:w="4529" w:type="dxa"/>
            <w:vAlign w:val="center"/>
          </w:tcPr>
          <w:p w14:paraId="23FDC0E3" w14:textId="77777777" w:rsidR="00D61B8C" w:rsidRDefault="00D61B8C" w:rsidP="00D61B8C">
            <w:pPr>
              <w:spacing w:after="200"/>
              <w:jc w:val="center"/>
              <w:rPr>
                <w:rFonts w:eastAsia="Times New Roman"/>
                <w:szCs w:val="24"/>
                <w:lang w:eastAsia="pt-BR"/>
              </w:rPr>
            </w:pPr>
            <w:r w:rsidRPr="00E54C7C">
              <w:rPr>
                <w:rFonts w:eastAsia="Times New Roman"/>
                <w:i/>
                <w:sz w:val="22"/>
                <w:szCs w:val="22"/>
                <w:lang w:eastAsia="pt-BR"/>
              </w:rPr>
              <w:t>XZ section</w:t>
            </w:r>
          </w:p>
        </w:tc>
        <w:tc>
          <w:tcPr>
            <w:tcW w:w="4530" w:type="dxa"/>
            <w:vAlign w:val="center"/>
          </w:tcPr>
          <w:p w14:paraId="58DD77F0" w14:textId="77777777" w:rsidR="00D61B8C" w:rsidRDefault="00D61B8C" w:rsidP="00D61B8C">
            <w:pPr>
              <w:spacing w:after="200"/>
              <w:jc w:val="center"/>
              <w:rPr>
                <w:rFonts w:eastAsia="Times New Roman"/>
                <w:szCs w:val="24"/>
                <w:lang w:eastAsia="pt-BR"/>
              </w:rPr>
            </w:pPr>
            <w:r w:rsidRPr="00E54C7C">
              <w:rPr>
                <w:rFonts w:eastAsia="Times New Roman"/>
                <w:i/>
                <w:sz w:val="22"/>
                <w:szCs w:val="22"/>
                <w:lang w:eastAsia="pt-BR"/>
              </w:rPr>
              <w:t>Stick model</w:t>
            </w:r>
          </w:p>
        </w:tc>
      </w:tr>
    </w:tbl>
    <w:p w14:paraId="4F13A619" w14:textId="67685414" w:rsidR="004E113E" w:rsidRPr="00627832" w:rsidRDefault="007B2141" w:rsidP="004E113E">
      <w:pPr>
        <w:jc w:val="center"/>
        <w:rPr>
          <w:rFonts w:eastAsia="Times New Roman"/>
          <w:i/>
          <w:sz w:val="22"/>
          <w:szCs w:val="22"/>
          <w:lang w:eastAsia="pt-BR"/>
        </w:rPr>
      </w:pPr>
      <w:r w:rsidRPr="00627832">
        <w:rPr>
          <w:rFonts w:eastAsia="Times New Roman"/>
          <w:i/>
          <w:sz w:val="22"/>
          <w:szCs w:val="22"/>
          <w:lang w:eastAsia="pt-BR"/>
        </w:rPr>
        <w:t>Fig.</w:t>
      </w:r>
      <w:r w:rsidR="004E113E" w:rsidRPr="00627832">
        <w:rPr>
          <w:rFonts w:eastAsia="Times New Roman"/>
          <w:i/>
          <w:sz w:val="22"/>
          <w:szCs w:val="22"/>
          <w:lang w:eastAsia="pt-BR"/>
        </w:rPr>
        <w:t xml:space="preserve"> 3. XZ cross section of the reactor building (left) and lumped-mass stick model for X direction (right) </w:t>
      </w:r>
      <w:r w:rsidR="00965168">
        <w:rPr>
          <w:rFonts w:eastAsia="Times New Roman"/>
          <w:i/>
          <w:sz w:val="22"/>
          <w:szCs w:val="22"/>
          <w:lang w:eastAsia="pt-BR"/>
        </w:rPr>
        <w:t>[1]</w:t>
      </w:r>
    </w:p>
    <w:p w14:paraId="3FD7DB4F" w14:textId="77777777" w:rsidR="004E113E" w:rsidRPr="00C07AF1" w:rsidRDefault="004E113E" w:rsidP="004E113E">
      <w:pPr>
        <w:pStyle w:val="Body"/>
        <w:ind w:firstLine="0"/>
      </w:pPr>
    </w:p>
    <w:p w14:paraId="57053173" w14:textId="174C83E1" w:rsidR="004E113E" w:rsidRPr="00C07AF1" w:rsidRDefault="004E113E" w:rsidP="004E113E">
      <w:pPr>
        <w:pStyle w:val="Body"/>
        <w:ind w:firstLine="0"/>
      </w:pPr>
      <w:r w:rsidRPr="00C07AF1">
        <w:t xml:space="preserve">The stick model is composed of two vertical beams connected by rigid horizontal links at each floor and founded on the basemat. According to the geometry of the structure, two models with slightly different characteristics are used: one for the </w:t>
      </w:r>
      <w:r w:rsidR="00981611">
        <w:t xml:space="preserve">X </w:t>
      </w:r>
      <w:r w:rsidRPr="00C07AF1">
        <w:t xml:space="preserve">direction and the other for the </w:t>
      </w:r>
      <w:r w:rsidR="00981611">
        <w:t>Y</w:t>
      </w:r>
      <w:r w:rsidRPr="00C07AF1">
        <w:t xml:space="preserve"> direction</w:t>
      </w:r>
      <w:r w:rsidR="00981611">
        <w:t xml:space="preserve"> (not shown</w:t>
      </w:r>
      <w:r w:rsidR="00981611" w:rsidRPr="00C07AF1">
        <w:t xml:space="preserve"> here</w:t>
      </w:r>
      <w:r w:rsidR="00981611">
        <w:t>)</w:t>
      </w:r>
      <w:r w:rsidRPr="00C07AF1">
        <w:t>. The representation of the building by these stick models implies two perpendicular symmetry planes which is not perfectly the case here (a small eccentricity was found during the benchmark). The analyses will be performed respectively in the X and Y direction and combined if necessary, while the vertical motion and the torsion of the building will not be considered in this study.</w:t>
      </w:r>
      <w:r w:rsidR="00D005D3">
        <w:t xml:space="preserve"> </w:t>
      </w:r>
      <w:r w:rsidRPr="00C07AF1">
        <w:t xml:space="preserve">Timoshenko beam elements are used to take account of the shear deformation of each story. In order to check the validity of the model, modal analysis has been performed on the fixed-base structure using CAST3M. As shown in </w:t>
      </w:r>
      <w:r w:rsidR="007B2141">
        <w:t>Fig.</w:t>
      </w:r>
      <w:r w:rsidRPr="00C07AF1">
        <w:t xml:space="preserve"> 4, the first fixed-base mode</w:t>
      </w:r>
      <w:r w:rsidR="00981611">
        <w:t>s</w:t>
      </w:r>
      <w:r w:rsidRPr="00C07AF1">
        <w:t xml:space="preserve"> compared rather well with those obtained by the 3D finite element model </w:t>
      </w:r>
      <w:r w:rsidR="00E93097">
        <w:t>[3]</w:t>
      </w:r>
      <w:r w:rsidRPr="00C07AF1">
        <w:t xml:space="preserve"> with similar shapes and frequencies</w:t>
      </w:r>
      <w:r w:rsidR="00981611" w:rsidRPr="00981611">
        <w:t xml:space="preserve"> </w:t>
      </w:r>
      <w:r w:rsidR="00981611">
        <w:t xml:space="preserve">(only </w:t>
      </w:r>
      <w:r w:rsidR="00981611" w:rsidRPr="00C07AF1">
        <w:t xml:space="preserve">the X </w:t>
      </w:r>
      <w:r w:rsidR="00981611">
        <w:t>direction mode is shown here)</w:t>
      </w:r>
      <w:r w:rsidRPr="00C07AF1">
        <w:t>.</w:t>
      </w:r>
    </w:p>
    <w:p w14:paraId="7D46FB1D" w14:textId="77777777" w:rsidR="004E113E" w:rsidRPr="00C07AF1" w:rsidRDefault="004E113E" w:rsidP="004E113E">
      <w:pPr>
        <w:pStyle w:val="Body"/>
        <w:ind w:firstLine="0"/>
      </w:pPr>
    </w:p>
    <w:tbl>
      <w:tblPr>
        <w:tblW w:w="0" w:type="auto"/>
        <w:tblInd w:w="392" w:type="dxa"/>
        <w:tblLook w:val="04A0" w:firstRow="1" w:lastRow="0" w:firstColumn="1" w:lastColumn="0" w:noHBand="0" w:noVBand="1"/>
      </w:tblPr>
      <w:tblGrid>
        <w:gridCol w:w="4197"/>
        <w:gridCol w:w="4480"/>
      </w:tblGrid>
      <w:tr w:rsidR="004E113E" w:rsidRPr="00C07AF1" w14:paraId="10526ADD" w14:textId="77777777" w:rsidTr="008A79FD">
        <w:tc>
          <w:tcPr>
            <w:tcW w:w="4197" w:type="dxa"/>
            <w:shd w:val="clear" w:color="auto" w:fill="auto"/>
          </w:tcPr>
          <w:p w14:paraId="271C8EC8" w14:textId="77777777" w:rsidR="004E113E" w:rsidRPr="00C07AF1" w:rsidRDefault="004E113E" w:rsidP="004E113E">
            <w:pPr>
              <w:pStyle w:val="Body"/>
            </w:pPr>
            <w:r w:rsidRPr="00C07AF1">
              <w:rPr>
                <w:noProof/>
                <w:lang w:val="fr-FR" w:eastAsia="fr-FR"/>
              </w:rPr>
              <w:drawing>
                <wp:inline distT="0" distB="0" distL="0" distR="0" wp14:anchorId="1872C879" wp14:editId="0681903E">
                  <wp:extent cx="1531620" cy="2051685"/>
                  <wp:effectExtent l="0" t="0" r="0" b="5715"/>
                  <wp:docPr id="28" name="Image 32" descr="H:\Mes documents\Mes dossiers\SINAPS\2015_2016\T4.3.1\Brochette\rbx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H:\Mes documents\Mes dossiers\SINAPS\2015_2016\T4.3.1\Brochette\rbx1.eps"/>
                          <pic:cNvPicPr>
                            <a:picLocks noChangeAspect="1" noChangeArrowheads="1"/>
                          </pic:cNvPicPr>
                        </pic:nvPicPr>
                        <pic:blipFill>
                          <a:blip r:embed="rId16" cstate="print">
                            <a:extLst>
                              <a:ext uri="{28A0092B-C50C-407E-A947-70E740481C1C}">
                                <a14:useLocalDpi xmlns:a14="http://schemas.microsoft.com/office/drawing/2010/main" val="0"/>
                              </a:ext>
                            </a:extLst>
                          </a:blip>
                          <a:srcRect t="11703" r="53542"/>
                          <a:stretch>
                            <a:fillRect/>
                          </a:stretch>
                        </pic:blipFill>
                        <pic:spPr bwMode="auto">
                          <a:xfrm>
                            <a:off x="0" y="0"/>
                            <a:ext cx="1531620" cy="2051685"/>
                          </a:xfrm>
                          <a:prstGeom prst="rect">
                            <a:avLst/>
                          </a:prstGeom>
                          <a:noFill/>
                          <a:ln>
                            <a:noFill/>
                          </a:ln>
                        </pic:spPr>
                      </pic:pic>
                    </a:graphicData>
                  </a:graphic>
                </wp:inline>
              </w:drawing>
            </w:r>
          </w:p>
        </w:tc>
        <w:tc>
          <w:tcPr>
            <w:tcW w:w="4480" w:type="dxa"/>
            <w:shd w:val="clear" w:color="auto" w:fill="auto"/>
          </w:tcPr>
          <w:p w14:paraId="0D9E6341" w14:textId="77777777" w:rsidR="004E113E" w:rsidRPr="00C07AF1" w:rsidRDefault="004E113E" w:rsidP="004E113E">
            <w:pPr>
              <w:pStyle w:val="Body"/>
            </w:pPr>
            <w:r w:rsidRPr="00C07AF1">
              <w:rPr>
                <w:noProof/>
                <w:lang w:val="fr-FR" w:eastAsia="fr-FR"/>
              </w:rPr>
              <w:drawing>
                <wp:inline distT="0" distB="0" distL="0" distR="0" wp14:anchorId="33875C89" wp14:editId="6AF5CE95">
                  <wp:extent cx="1685925" cy="2047875"/>
                  <wp:effectExtent l="0" t="0" r="9525" b="9525"/>
                  <wp:docPr id="10" name="Image 51" descr="\\alba\DM2S\AGENTS\WANG\Mes documents\Mes dossiers\IRSN_ISS\KARISMA\Rapport_CEA\Figures\modes\fig38_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1" descr="\\alba\DM2S\AGENTS\WANG\Mes documents\Mes dossiers\IRSN_ISS\KARISMA\Rapport_CEA\Figures\modes\fig38_1.eps"/>
                          <pic:cNvPicPr>
                            <a:picLocks noChangeAspect="1" noChangeArrowheads="1"/>
                          </pic:cNvPicPr>
                        </pic:nvPicPr>
                        <pic:blipFill>
                          <a:blip r:embed="rId17">
                            <a:extLst>
                              <a:ext uri="{28A0092B-C50C-407E-A947-70E740481C1C}">
                                <a14:useLocalDpi xmlns:a14="http://schemas.microsoft.com/office/drawing/2010/main" val="0"/>
                              </a:ext>
                            </a:extLst>
                          </a:blip>
                          <a:srcRect l="-832" t="19153" r="53014" b="-1105"/>
                          <a:stretch>
                            <a:fillRect/>
                          </a:stretch>
                        </pic:blipFill>
                        <pic:spPr bwMode="auto">
                          <a:xfrm>
                            <a:off x="0" y="0"/>
                            <a:ext cx="1685925" cy="2047875"/>
                          </a:xfrm>
                          <a:prstGeom prst="rect">
                            <a:avLst/>
                          </a:prstGeom>
                          <a:noFill/>
                          <a:ln>
                            <a:noFill/>
                          </a:ln>
                        </pic:spPr>
                      </pic:pic>
                    </a:graphicData>
                  </a:graphic>
                </wp:inline>
              </w:drawing>
            </w:r>
          </w:p>
        </w:tc>
      </w:tr>
      <w:tr w:rsidR="004E113E" w:rsidRPr="00627832" w14:paraId="6217D38D" w14:textId="77777777" w:rsidTr="008A79FD">
        <w:tc>
          <w:tcPr>
            <w:tcW w:w="4197" w:type="dxa"/>
            <w:shd w:val="clear" w:color="auto" w:fill="auto"/>
          </w:tcPr>
          <w:p w14:paraId="44DA673E" w14:textId="77777777" w:rsidR="004E113E" w:rsidRPr="00627832" w:rsidRDefault="004E113E" w:rsidP="004E113E">
            <w:pPr>
              <w:pStyle w:val="Body"/>
              <w:rPr>
                <w:i/>
                <w:sz w:val="22"/>
                <w:szCs w:val="22"/>
              </w:rPr>
            </w:pPr>
            <w:r w:rsidRPr="00627832">
              <w:rPr>
                <w:i/>
                <w:sz w:val="22"/>
                <w:szCs w:val="22"/>
              </w:rPr>
              <w:t>X Direction - stick model</w:t>
            </w:r>
          </w:p>
        </w:tc>
        <w:tc>
          <w:tcPr>
            <w:tcW w:w="4480" w:type="dxa"/>
            <w:shd w:val="clear" w:color="auto" w:fill="auto"/>
          </w:tcPr>
          <w:p w14:paraId="09B78FE4" w14:textId="14BE79FC" w:rsidR="004E113E" w:rsidRPr="00627832" w:rsidRDefault="004E113E" w:rsidP="004E113E">
            <w:pPr>
              <w:pStyle w:val="Body"/>
              <w:rPr>
                <w:i/>
                <w:sz w:val="22"/>
                <w:szCs w:val="22"/>
              </w:rPr>
            </w:pPr>
            <w:r w:rsidRPr="00627832">
              <w:rPr>
                <w:i/>
                <w:sz w:val="22"/>
                <w:szCs w:val="22"/>
              </w:rPr>
              <w:t>X direction - 3D finite element model</w:t>
            </w:r>
            <w:r w:rsidR="00E93097">
              <w:rPr>
                <w:i/>
                <w:sz w:val="22"/>
                <w:szCs w:val="22"/>
              </w:rPr>
              <w:t>[3]</w:t>
            </w:r>
          </w:p>
        </w:tc>
      </w:tr>
    </w:tbl>
    <w:p w14:paraId="471BAB21" w14:textId="77777777" w:rsidR="004E113E" w:rsidRPr="00627832" w:rsidRDefault="007B2141" w:rsidP="004E113E">
      <w:pPr>
        <w:jc w:val="center"/>
        <w:rPr>
          <w:rFonts w:ascii="Times New Roman" w:eastAsia="Times New Roman" w:hAnsi="Times New Roman"/>
          <w:i/>
          <w:sz w:val="22"/>
          <w:szCs w:val="22"/>
          <w:lang w:eastAsia="pt-BR"/>
        </w:rPr>
      </w:pPr>
      <w:r w:rsidRPr="00627832">
        <w:rPr>
          <w:rFonts w:ascii="Times New Roman" w:eastAsia="Times New Roman" w:hAnsi="Times New Roman"/>
          <w:i/>
          <w:sz w:val="22"/>
          <w:szCs w:val="22"/>
          <w:lang w:eastAsia="pt-BR"/>
        </w:rPr>
        <w:t>Fig.</w:t>
      </w:r>
      <w:r w:rsidR="004E113E" w:rsidRPr="00627832">
        <w:rPr>
          <w:rFonts w:ascii="Times New Roman" w:eastAsia="Times New Roman" w:hAnsi="Times New Roman"/>
          <w:i/>
          <w:sz w:val="22"/>
          <w:szCs w:val="22"/>
          <w:lang w:eastAsia="pt-BR"/>
        </w:rPr>
        <w:t xml:space="preserve"> 4. Comparison of the firs</w:t>
      </w:r>
      <w:r w:rsidR="008A79FD" w:rsidRPr="00627832">
        <w:rPr>
          <w:rFonts w:ascii="Times New Roman" w:eastAsia="Times New Roman" w:hAnsi="Times New Roman"/>
          <w:i/>
          <w:sz w:val="22"/>
          <w:szCs w:val="22"/>
          <w:lang w:eastAsia="pt-BR"/>
        </w:rPr>
        <w:t>t fixed-base mode in the X direction</w:t>
      </w:r>
      <w:r w:rsidR="004E113E" w:rsidRPr="00627832">
        <w:rPr>
          <w:rFonts w:ascii="Times New Roman" w:eastAsia="Times New Roman" w:hAnsi="Times New Roman"/>
          <w:i/>
          <w:sz w:val="22"/>
          <w:szCs w:val="22"/>
          <w:lang w:eastAsia="pt-BR"/>
        </w:rPr>
        <w:t>, between lumped-mass sti</w:t>
      </w:r>
      <w:r w:rsidR="00732229" w:rsidRPr="00627832">
        <w:rPr>
          <w:rFonts w:ascii="Times New Roman" w:eastAsia="Times New Roman" w:hAnsi="Times New Roman"/>
          <w:i/>
          <w:sz w:val="22"/>
          <w:szCs w:val="22"/>
          <w:lang w:eastAsia="pt-BR"/>
        </w:rPr>
        <w:t>ck and 3D finite element models</w:t>
      </w:r>
    </w:p>
    <w:p w14:paraId="0B80E1D7" w14:textId="77777777" w:rsidR="00732229" w:rsidRDefault="00732229" w:rsidP="004E113E">
      <w:pPr>
        <w:pStyle w:val="Body"/>
        <w:ind w:firstLine="0"/>
      </w:pPr>
    </w:p>
    <w:p w14:paraId="6A64A834" w14:textId="4DF1563E" w:rsidR="0061101D" w:rsidRPr="00C07AF1" w:rsidRDefault="0061101D" w:rsidP="0061101D">
      <w:pPr>
        <w:pStyle w:val="Body"/>
        <w:ind w:firstLine="0"/>
      </w:pPr>
    </w:p>
    <w:p w14:paraId="792BA58B" w14:textId="3E8665A9" w:rsidR="00732229" w:rsidRDefault="00732229" w:rsidP="004E113E">
      <w:pPr>
        <w:pStyle w:val="Body"/>
        <w:ind w:firstLine="0"/>
      </w:pPr>
    </w:p>
    <w:p w14:paraId="1A7ACDCB" w14:textId="10612B30" w:rsidR="004E113E" w:rsidRPr="00C07AF1" w:rsidRDefault="004E113E" w:rsidP="004E113E">
      <w:pPr>
        <w:pStyle w:val="Body"/>
        <w:ind w:firstLine="0"/>
      </w:pPr>
      <w:r w:rsidRPr="00C07AF1">
        <w:lastRenderedPageBreak/>
        <w:t xml:space="preserve">The foundation soil is represented by their dynamic impedance functions which are schematised by soil springs K1 to K10 as shown in </w:t>
      </w:r>
      <w:r w:rsidR="007B2141">
        <w:t>Fig.</w:t>
      </w:r>
      <w:r w:rsidRPr="00C07AF1">
        <w:t xml:space="preserve"> 3. No coupling is supposed between these springs. Springs K1, K2, K3, K4 and K7, K8, K9, K10 respectively for translational and rocking motions are the so-called Novak’s “side springs”. They are calculated for each soil layer as the impedances of a rigid massless cylindrical foundation in an elastic plane-strain infinite medium </w:t>
      </w:r>
      <w:r w:rsidR="0065766D">
        <w:t>[8]</w:t>
      </w:r>
      <w:r w:rsidRPr="00C07AF1">
        <w:t xml:space="preserve">. Because of the potential separation between the wall and the soil near the ground surface, the first layers of soil to a depth of 6 meters are not considered in the calculation of the soil springs according to ASCE Standard 4-16 </w:t>
      </w:r>
      <w:r w:rsidR="0065766D">
        <w:t>[9]</w:t>
      </w:r>
      <w:r w:rsidRPr="00C07AF1">
        <w:t>.</w:t>
      </w:r>
      <w:r w:rsidR="00E90CC7">
        <w:t xml:space="preserve"> </w:t>
      </w:r>
      <w:r w:rsidRPr="00C07AF1">
        <w:t xml:space="preserve">K5 and K6 are the so-called “bottom soil springs” which are the impedances of a rigid massless disk resting on the surface of semi-infinite elastic medium considering only soil layers beneath the foundation. These functions can be found in impedance handbooks such as </w:t>
      </w:r>
      <w:r w:rsidR="0065766D">
        <w:t>[10]</w:t>
      </w:r>
      <w:r w:rsidRPr="00C07AF1">
        <w:t>. The shape of the building being rectangular, equivalent circular foundations are used to determine the soil springs. The equivalent radius are calculated on the equivalence of surface for the translational spring and equivalence of moment of inertia for rocking spring. To take into account soil non-linearities, a linear equivalent soil profile will be obtained through soil column deconvolution for each seismic signal. These linear equivalent properties (shear modulus and damping) will be used to calculate the impedance of each soil layer. The soil beneath the foundation will be replaced by an equivalent homogeneous medium to determine the bottom soil springs.</w:t>
      </w:r>
    </w:p>
    <w:p w14:paraId="7435A7CE" w14:textId="77777777" w:rsidR="00E24F8B" w:rsidRPr="00156B1F" w:rsidRDefault="004E113E" w:rsidP="00156B1F">
      <w:pPr>
        <w:pStyle w:val="Titre1"/>
      </w:pPr>
      <w:r w:rsidRPr="00156B1F">
        <w:t>SEISMIC SIGNALS</w:t>
      </w:r>
    </w:p>
    <w:p w14:paraId="4973797B" w14:textId="77777777" w:rsidR="004E113E" w:rsidRPr="00070E54" w:rsidRDefault="004E113E" w:rsidP="00180189">
      <w:pPr>
        <w:pStyle w:val="Titre2"/>
      </w:pPr>
      <w:r w:rsidRPr="00070E54">
        <w:t>Ground Motion Prediction Equation (GMPE)</w:t>
      </w:r>
    </w:p>
    <w:p w14:paraId="6E083008" w14:textId="081407A7" w:rsidR="004E113E" w:rsidRPr="00C07AF1" w:rsidRDefault="004E113E" w:rsidP="004E113E">
      <w:pPr>
        <w:pStyle w:val="Body"/>
        <w:ind w:firstLine="0"/>
      </w:pPr>
      <w:r w:rsidRPr="00C07AF1">
        <w:t>Synthetic seismic signals were produced using the Campbell and Bozorgnia (2008)</w:t>
      </w:r>
      <w:r w:rsidR="0065766D">
        <w:t xml:space="preserve"> [5]</w:t>
      </w:r>
      <w:r w:rsidRPr="00C07AF1">
        <w:t xml:space="preserve"> empirical Ground Motion Prediction Equation (GMPE) and considering the NCOE 2007 scenario (Mw = 6.6 and epicentral distance of 16 km). Two approaches were employed in the process: in the first one, signals were generated for the soil surface (top of grade) while in the second one, they were generated for a virtual outcropping bedrock.</w:t>
      </w:r>
    </w:p>
    <w:p w14:paraId="4B27A6A1" w14:textId="77777777" w:rsidR="004E113E" w:rsidRPr="00C07AF1" w:rsidRDefault="004E113E" w:rsidP="004E113E">
      <w:pPr>
        <w:pStyle w:val="Body"/>
        <w:ind w:firstLine="0"/>
      </w:pPr>
    </w:p>
    <w:p w14:paraId="4B3054EA" w14:textId="77777777" w:rsidR="004E113E" w:rsidRPr="00C07AF1" w:rsidRDefault="00991920" w:rsidP="004E113E">
      <w:pPr>
        <w:pStyle w:val="Body"/>
        <w:ind w:firstLine="0"/>
        <w:jc w:val="center"/>
      </w:pPr>
      <w:r w:rsidRPr="00C07AF1">
        <w:rPr>
          <w:noProof/>
          <w:lang w:val="fr-FR" w:eastAsia="fr-FR"/>
        </w:rPr>
        <mc:AlternateContent>
          <mc:Choice Requires="wps">
            <w:drawing>
              <wp:anchor distT="0" distB="0" distL="114300" distR="114300" simplePos="0" relativeHeight="251667456" behindDoc="0" locked="0" layoutInCell="1" allowOverlap="1" wp14:anchorId="2D70695B" wp14:editId="4C869DC7">
                <wp:simplePos x="0" y="0"/>
                <wp:positionH relativeFrom="column">
                  <wp:posOffset>2174974</wp:posOffset>
                </wp:positionH>
                <wp:positionV relativeFrom="paragraph">
                  <wp:posOffset>154305</wp:posOffset>
                </wp:positionV>
                <wp:extent cx="742208" cy="118753"/>
                <wp:effectExtent l="0" t="0" r="20320" b="14605"/>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208" cy="118753"/>
                        </a:xfrm>
                        <a:prstGeom prst="rect">
                          <a:avLst/>
                        </a:prstGeom>
                        <a:solidFill>
                          <a:srgbClr val="FFFFFF"/>
                        </a:solidFill>
                        <a:ln w="9525">
                          <a:solidFill>
                            <a:srgbClr val="FFFFFF"/>
                          </a:solidFill>
                          <a:miter lim="800000"/>
                          <a:headEnd/>
                          <a:tailEnd/>
                        </a:ln>
                      </wps:spPr>
                      <wps:txbx>
                        <w:txbxContent>
                          <w:p w14:paraId="1B36DCA1" w14:textId="77777777" w:rsidR="00ED16EF" w:rsidRPr="00991920" w:rsidRDefault="00ED16EF" w:rsidP="00991920">
                            <w:pPr>
                              <w:rPr>
                                <w:rFonts w:ascii="Times New Roman" w:hAnsi="Times New Roman"/>
                                <w:b/>
                                <w:sz w:val="14"/>
                                <w:szCs w:val="14"/>
                                <w:lang w:val="fr-FR"/>
                              </w:rPr>
                            </w:pPr>
                            <w:r>
                              <w:rPr>
                                <w:rFonts w:ascii="Times New Roman" w:hAnsi="Times New Roman"/>
                                <w:b/>
                                <w:sz w:val="14"/>
                                <w:szCs w:val="14"/>
                                <w:lang w:val="fr-FR"/>
                              </w:rPr>
                              <w:t>SOIL SURFACE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0695B" id="_x0000_t202" coordsize="21600,21600" o:spt="202" path="m,l,21600r21600,l21600,xe">
                <v:stroke joinstyle="miter"/>
                <v:path gradientshapeok="t" o:connecttype="rect"/>
              </v:shapetype>
              <v:shape id="Text Box 9" o:spid="_x0000_s1026" type="#_x0000_t202" style="position:absolute;left:0;text-align:left;margin-left:171.25pt;margin-top:12.15pt;width:58.4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" strokecolor="white">
                <v:textbox inset="0,0,0,0">
                  <w:txbxContent>
                    <w:p w14:paraId="1B36DCA1" w14:textId="77777777" w:rsidR="00ED16EF" w:rsidRPr="00991920" w:rsidRDefault="00ED16EF" w:rsidP="00991920">
                      <w:pPr>
                        <w:rPr>
                          <w:rFonts w:ascii="Times New Roman" w:hAnsi="Times New Roman"/>
                          <w:b/>
                          <w:sz w:val="14"/>
                          <w:szCs w:val="14"/>
                          <w:lang w:val="fr-FR"/>
                        </w:rPr>
                      </w:pPr>
                      <w:r>
                        <w:rPr>
                          <w:rFonts w:ascii="Times New Roman" w:hAnsi="Times New Roman"/>
                          <w:b/>
                          <w:sz w:val="14"/>
                          <w:szCs w:val="14"/>
                          <w:lang w:val="fr-FR"/>
                        </w:rPr>
                        <w:t>SOIL SURFACE</w:t>
                      </w:r>
                    </w:p>
                  </w:txbxContent>
                </v:textbox>
              </v:shape>
            </w:pict>
          </mc:Fallback>
        </mc:AlternateContent>
      </w:r>
      <w:r w:rsidRPr="00C07AF1">
        <w:rPr>
          <w:noProof/>
          <w:lang w:val="fr-FR" w:eastAsia="fr-FR"/>
        </w:rPr>
        <mc:AlternateContent>
          <mc:Choice Requires="wps">
            <w:drawing>
              <wp:anchor distT="0" distB="0" distL="114300" distR="114300" simplePos="0" relativeHeight="251659264" behindDoc="0" locked="0" layoutInCell="1" allowOverlap="1" wp14:anchorId="635FAD56" wp14:editId="6889B879">
                <wp:simplePos x="0" y="0"/>
                <wp:positionH relativeFrom="column">
                  <wp:posOffset>3178266</wp:posOffset>
                </wp:positionH>
                <wp:positionV relativeFrom="paragraph">
                  <wp:posOffset>35560</wp:posOffset>
                </wp:positionV>
                <wp:extent cx="1156525" cy="118753"/>
                <wp:effectExtent l="0" t="0" r="24765" b="14605"/>
                <wp:wrapNone/>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525" cy="118753"/>
                        </a:xfrm>
                        <a:prstGeom prst="rect">
                          <a:avLst/>
                        </a:prstGeom>
                        <a:solidFill>
                          <a:srgbClr val="FFFFFF"/>
                        </a:solidFill>
                        <a:ln w="9525">
                          <a:solidFill>
                            <a:srgbClr val="FFFFFF"/>
                          </a:solidFill>
                          <a:miter lim="800000"/>
                          <a:headEnd/>
                          <a:tailEnd/>
                        </a:ln>
                      </wps:spPr>
                      <wps:txbx>
                        <w:txbxContent>
                          <w:p w14:paraId="7296CA90"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OUTCROPPING BEDROCK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FAD56" id="_x0000_s1027" type="#_x0000_t202" style="position:absolute;left:0;text-align:left;margin-left:250.25pt;margin-top:2.8pt;width:91.0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" strokecolor="white">
                <v:textbox inset="0,0,0,0">
                  <w:txbxContent>
                    <w:p w14:paraId="7296CA90"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OUTCROPPING BEDROCK</w:t>
                      </w:r>
                    </w:p>
                  </w:txbxContent>
                </v:textbox>
              </v:shape>
            </w:pict>
          </mc:Fallback>
        </mc:AlternateContent>
      </w:r>
      <w:r w:rsidRPr="00C07AF1">
        <w:rPr>
          <w:noProof/>
          <w:lang w:val="fr-FR" w:eastAsia="fr-FR"/>
        </w:rPr>
        <mc:AlternateContent>
          <mc:Choice Requires="wps">
            <w:drawing>
              <wp:anchor distT="0" distB="0" distL="114300" distR="114300" simplePos="0" relativeHeight="251664384" behindDoc="0" locked="0" layoutInCell="1" allowOverlap="1" wp14:anchorId="0676D9F2" wp14:editId="1893C02E">
                <wp:simplePos x="0" y="0"/>
                <wp:positionH relativeFrom="column">
                  <wp:posOffset>2281035</wp:posOffset>
                </wp:positionH>
                <wp:positionV relativeFrom="paragraph">
                  <wp:posOffset>475615</wp:posOffset>
                </wp:positionV>
                <wp:extent cx="273050" cy="175895"/>
                <wp:effectExtent l="12700" t="12065" r="9525" b="1206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75895"/>
                        </a:xfrm>
                        <a:prstGeom prst="rect">
                          <a:avLst/>
                        </a:prstGeom>
                        <a:solidFill>
                          <a:srgbClr val="FFFFFF"/>
                        </a:solidFill>
                        <a:ln w="9525">
                          <a:solidFill>
                            <a:srgbClr val="FFFFFF"/>
                          </a:solidFill>
                          <a:miter lim="800000"/>
                          <a:headEnd/>
                          <a:tailEnd/>
                        </a:ln>
                      </wps:spPr>
                      <wps:txbx>
                        <w:txbxContent>
                          <w:p w14:paraId="17467920"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SOIL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6D9F2" id="Text Box 12" o:spid="_x0000_s1028" type="#_x0000_t202" style="position:absolute;left:0;text-align:left;margin-left:179.6pt;margin-top:37.45pt;width:21.5pt;height:1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" strokecolor="white">
                <v:textbox inset="0,0,0,0">
                  <w:txbxContent>
                    <w:p w14:paraId="17467920"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SOIL</w:t>
                      </w:r>
                    </w:p>
                  </w:txbxContent>
                </v:textbox>
              </v:shape>
            </w:pict>
          </mc:Fallback>
        </mc:AlternateContent>
      </w:r>
      <w:r w:rsidRPr="00C07AF1">
        <w:rPr>
          <w:noProof/>
          <w:lang w:val="fr-FR" w:eastAsia="fr-FR"/>
        </w:rPr>
        <mc:AlternateContent>
          <mc:Choice Requires="wps">
            <w:drawing>
              <wp:anchor distT="0" distB="0" distL="114300" distR="114300" simplePos="0" relativeHeight="251665408" behindDoc="0" locked="0" layoutInCell="1" allowOverlap="1" wp14:anchorId="77405F14" wp14:editId="7B8C6F35">
                <wp:simplePos x="0" y="0"/>
                <wp:positionH relativeFrom="column">
                  <wp:posOffset>1735513</wp:posOffset>
                </wp:positionH>
                <wp:positionV relativeFrom="paragraph">
                  <wp:posOffset>851890</wp:posOffset>
                </wp:positionV>
                <wp:extent cx="546100" cy="156845"/>
                <wp:effectExtent l="6350" t="8890" r="9525" b="5715"/>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56845"/>
                        </a:xfrm>
                        <a:prstGeom prst="rect">
                          <a:avLst/>
                        </a:prstGeom>
                        <a:solidFill>
                          <a:srgbClr val="FFFFFF"/>
                        </a:solidFill>
                        <a:ln w="9525">
                          <a:solidFill>
                            <a:srgbClr val="FFFFFF"/>
                          </a:solidFill>
                          <a:miter lim="800000"/>
                          <a:headEnd/>
                          <a:tailEnd/>
                        </a:ln>
                      </wps:spPr>
                      <wps:txbx>
                        <w:txbxContent>
                          <w:p w14:paraId="1CD907AA"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BEDROCK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05F14" id="Text Box 13" o:spid="_x0000_s1029" type="#_x0000_t202" style="position:absolute;left:0;text-align:left;margin-left:136.65pt;margin-top:67.1pt;width:43pt;height:1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" strokecolor="white">
                <v:textbox inset="0,0,0,0">
                  <w:txbxContent>
                    <w:p w14:paraId="1CD907AA" w14:textId="77777777" w:rsidR="00ED16EF" w:rsidRPr="00991920" w:rsidRDefault="00ED16EF" w:rsidP="004E113E">
                      <w:pPr>
                        <w:rPr>
                          <w:rFonts w:ascii="Times New Roman" w:hAnsi="Times New Roman"/>
                          <w:b/>
                          <w:sz w:val="14"/>
                          <w:szCs w:val="14"/>
                          <w:lang w:val="fr-FR"/>
                        </w:rPr>
                      </w:pPr>
                      <w:r w:rsidRPr="00991920">
                        <w:rPr>
                          <w:rFonts w:ascii="Times New Roman" w:hAnsi="Times New Roman"/>
                          <w:b/>
                          <w:sz w:val="14"/>
                          <w:szCs w:val="14"/>
                          <w:lang w:val="fr-FR"/>
                        </w:rPr>
                        <w:t>BEDROCK</w:t>
                      </w:r>
                    </w:p>
                  </w:txbxContent>
                </v:textbox>
              </v:shape>
            </w:pict>
          </mc:Fallback>
        </mc:AlternateContent>
      </w:r>
      <w:r w:rsidR="004E113E" w:rsidRPr="00C07AF1">
        <w:rPr>
          <w:noProof/>
          <w:lang w:val="fr-FR" w:eastAsia="fr-FR"/>
        </w:rPr>
        <w:drawing>
          <wp:inline distT="0" distB="0" distL="0" distR="0" wp14:anchorId="559348A7" wp14:editId="0E570703">
            <wp:extent cx="3592286" cy="1439336"/>
            <wp:effectExtent l="0" t="0" r="8255" b="8890"/>
            <wp:docPr id="2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783" cy="1460370"/>
                    </a:xfrm>
                    <a:prstGeom prst="rect">
                      <a:avLst/>
                    </a:prstGeom>
                    <a:noFill/>
                    <a:ln>
                      <a:noFill/>
                    </a:ln>
                  </pic:spPr>
                </pic:pic>
              </a:graphicData>
            </a:graphic>
          </wp:inline>
        </w:drawing>
      </w:r>
    </w:p>
    <w:p w14:paraId="18367A77" w14:textId="13319AD9" w:rsidR="004E113E" w:rsidRPr="001C46FD" w:rsidRDefault="008F502F" w:rsidP="00156B1F">
      <w:pPr>
        <w:pStyle w:val="Body"/>
        <w:ind w:firstLine="0"/>
        <w:jc w:val="center"/>
        <w:rPr>
          <w:i/>
          <w:sz w:val="22"/>
          <w:szCs w:val="22"/>
        </w:rPr>
      </w:pPr>
      <w:r>
        <w:rPr>
          <w:i/>
          <w:sz w:val="22"/>
          <w:szCs w:val="22"/>
        </w:rPr>
        <w:t xml:space="preserve">Fig. </w:t>
      </w:r>
      <w:r w:rsidR="00571E80">
        <w:rPr>
          <w:i/>
          <w:sz w:val="22"/>
          <w:szCs w:val="22"/>
        </w:rPr>
        <w:t>5</w:t>
      </w:r>
      <w:r w:rsidR="004E113E" w:rsidRPr="001C46FD">
        <w:rPr>
          <w:i/>
          <w:sz w:val="22"/>
          <w:szCs w:val="22"/>
        </w:rPr>
        <w:t xml:space="preserve">. </w:t>
      </w:r>
      <w:r w:rsidR="00006657" w:rsidRPr="001C46FD">
        <w:rPr>
          <w:i/>
          <w:sz w:val="22"/>
          <w:szCs w:val="22"/>
        </w:rPr>
        <w:t>S</w:t>
      </w:r>
      <w:r w:rsidR="004E113E" w:rsidRPr="001C46FD">
        <w:rPr>
          <w:i/>
          <w:sz w:val="22"/>
          <w:szCs w:val="22"/>
        </w:rPr>
        <w:t>cheme of</w:t>
      </w:r>
      <w:r w:rsidR="00006657" w:rsidRPr="001C46FD">
        <w:rPr>
          <w:i/>
          <w:sz w:val="22"/>
          <w:szCs w:val="22"/>
        </w:rPr>
        <w:t xml:space="preserve"> the</w:t>
      </w:r>
      <w:r w:rsidR="004E113E" w:rsidRPr="001C46FD">
        <w:rPr>
          <w:i/>
          <w:sz w:val="22"/>
          <w:szCs w:val="22"/>
        </w:rPr>
        <w:t xml:space="preserve"> </w:t>
      </w:r>
      <w:r w:rsidR="00006657" w:rsidRPr="001C46FD">
        <w:rPr>
          <w:i/>
          <w:sz w:val="22"/>
          <w:szCs w:val="22"/>
        </w:rPr>
        <w:t xml:space="preserve">embedded </w:t>
      </w:r>
      <w:r w:rsidR="004E113E" w:rsidRPr="001C46FD">
        <w:rPr>
          <w:i/>
          <w:sz w:val="22"/>
          <w:szCs w:val="22"/>
        </w:rPr>
        <w:t xml:space="preserve">reactor building over 25 m. Bedrock is found at ~167 m in depth. Stars indicate location of different “control points” (extract from </w:t>
      </w:r>
      <w:r w:rsidR="0065766D">
        <w:rPr>
          <w:i/>
          <w:sz w:val="22"/>
          <w:szCs w:val="22"/>
        </w:rPr>
        <w:t>[4]</w:t>
      </w:r>
      <w:r w:rsidR="004E113E" w:rsidRPr="001C46FD">
        <w:rPr>
          <w:i/>
          <w:sz w:val="22"/>
          <w:szCs w:val="22"/>
        </w:rPr>
        <w:t>).</w:t>
      </w:r>
    </w:p>
    <w:p w14:paraId="7D04D874" w14:textId="77777777" w:rsidR="004E113E" w:rsidRPr="00C07AF1" w:rsidRDefault="004E113E" w:rsidP="00180189">
      <w:pPr>
        <w:pStyle w:val="Titre2"/>
      </w:pPr>
      <w:r w:rsidRPr="00C07AF1">
        <w:t>A</w:t>
      </w:r>
      <w:r w:rsidR="006E2A3A">
        <w:t>pproach 1: Soil Surface Signals</w:t>
      </w:r>
    </w:p>
    <w:p w14:paraId="3DF0E74E" w14:textId="3DEBEC52" w:rsidR="004E113E" w:rsidRPr="00C07AF1" w:rsidRDefault="004E113E" w:rsidP="004E113E">
      <w:pPr>
        <w:pStyle w:val="Body"/>
        <w:ind w:firstLine="0"/>
      </w:pPr>
      <w:r w:rsidRPr="00C07AF1">
        <w:t xml:space="preserve">In this approach, seismic signals were specified for the control point 1 as shown in </w:t>
      </w:r>
      <w:r w:rsidR="008F502F">
        <w:t xml:space="preserve">Fig. </w:t>
      </w:r>
      <w:r w:rsidR="00571E80">
        <w:t>5</w:t>
      </w:r>
      <w:r w:rsidRPr="00C07AF1">
        <w:t xml:space="preserve"> on the ground surface with the real soil condition of the reactor building site (Vs</w:t>
      </w:r>
      <w:r w:rsidRPr="00C07AF1">
        <w:rPr>
          <w:vertAlign w:val="subscript"/>
        </w:rPr>
        <w:t xml:space="preserve">30 </w:t>
      </w:r>
      <w:r w:rsidRPr="00C07AF1">
        <w:t xml:space="preserve">= 250 m/s). This approach correspond to the usual French engineering practice recommended by the French nuclear safety authority. As a matter of fact, in France the reference seismic input has always been defined on the surface of the free field soil </w:t>
      </w:r>
      <w:r w:rsidR="0065766D">
        <w:t>[7]</w:t>
      </w:r>
      <w:r w:rsidRPr="00C07AF1">
        <w:t>. A set of 50 synthetic ground motions was generated initially</w:t>
      </w:r>
      <w:r w:rsidR="0065766D">
        <w:t xml:space="preserve"> [11]</w:t>
      </w:r>
      <w:r w:rsidRPr="00C07AF1">
        <w:t xml:space="preserve"> whose mean response spectrum fits the target NCOE 2007 scenario spectrum on a soft soil site. To increase the seismic inputs number, and to cover a large range of strong motions, the “classical engineering scaling” process is applied on the signal set with amplification factors of 0.5, 1, 2, 2.5 and 3. The response spectra of initial 50 surface signals are shown in </w:t>
      </w:r>
      <w:r w:rsidR="008F502F">
        <w:t xml:space="preserve">Fig. </w:t>
      </w:r>
      <w:r w:rsidR="00571E80">
        <w:t>6</w:t>
      </w:r>
      <w:r w:rsidRPr="00C07AF1">
        <w:t>(a).</w:t>
      </w:r>
    </w:p>
    <w:p w14:paraId="5DE67D44" w14:textId="77777777" w:rsidR="004E113E" w:rsidRPr="00C07AF1" w:rsidRDefault="004E113E" w:rsidP="00180189">
      <w:pPr>
        <w:pStyle w:val="Titre2"/>
      </w:pPr>
      <w:r w:rsidRPr="00C07AF1">
        <w:lastRenderedPageBreak/>
        <w:t>Approach</w:t>
      </w:r>
      <w:r w:rsidR="00612552">
        <w:t xml:space="preserve"> 2: Outcropping Bedrock Signals</w:t>
      </w:r>
    </w:p>
    <w:p w14:paraId="6E60830D" w14:textId="13D7D691" w:rsidR="004E113E" w:rsidRDefault="004E113E" w:rsidP="004E113E">
      <w:pPr>
        <w:pStyle w:val="Body"/>
        <w:ind w:firstLine="0"/>
      </w:pPr>
      <w:r w:rsidRPr="00C07AF1">
        <w:t>In this second approach, seismic signals were specified for the control point 2 on the outcropping bedrock with a rock site conditions (Vs</w:t>
      </w:r>
      <w:r w:rsidRPr="00C07AF1">
        <w:rPr>
          <w:vertAlign w:val="subscript"/>
        </w:rPr>
        <w:t>30</w:t>
      </w:r>
      <w:r w:rsidRPr="00C07AF1">
        <w:t xml:space="preserve"> = 720 m/s) as shown in </w:t>
      </w:r>
      <w:r w:rsidR="008F502F">
        <w:t xml:space="preserve">Fig. </w:t>
      </w:r>
      <w:r w:rsidR="00571E80">
        <w:t>5</w:t>
      </w:r>
      <w:r w:rsidRPr="00C07AF1">
        <w:t xml:space="preserve">. This approach is not the current French practice but was adopted in this study because it is probably more relevant considering the effect of the high soil non-linearity on the site. This effect cannot be precisely predicted by the Campbell and Bozorgnia empirical equation which is not site-specific by nature. As in approach 1, a set of 50 synthetic ground motions was generated whose mean response spectrum fits the target NCOE 2007 scenario spectrum on a rock site. The same scaling process was applied with factors of 0.5, 1, 2, 2.5 and 3 as previously. </w:t>
      </w:r>
      <w:r w:rsidR="008F502F">
        <w:t xml:space="preserve">Fig. </w:t>
      </w:r>
      <w:r w:rsidR="00571E80">
        <w:t>6</w:t>
      </w:r>
      <w:r w:rsidRPr="00C07AF1">
        <w:t xml:space="preserve">(b) shows the spectra of the initial 50 outcropping signals. For the sake of comparison, the </w:t>
      </w:r>
      <w:r w:rsidR="009F5B43">
        <w:t>median</w:t>
      </w:r>
      <w:r w:rsidRPr="00C07AF1">
        <w:t xml:space="preserve"> spectra for the signals of two approaches are plotted in </w:t>
      </w:r>
      <w:r w:rsidR="008F502F">
        <w:t xml:space="preserve">Fig. </w:t>
      </w:r>
      <w:r w:rsidR="00571E80">
        <w:t>6</w:t>
      </w:r>
      <w:r w:rsidRPr="00C07AF1">
        <w:t>(c) which shows that the peak of spectra of the soil surface signals is lower than that of a rock site.</w:t>
      </w:r>
    </w:p>
    <w:p w14:paraId="07907267" w14:textId="77777777" w:rsidR="009F5B43" w:rsidRDefault="009F5B43"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3"/>
        <w:gridCol w:w="3023"/>
      </w:tblGrid>
      <w:tr w:rsidR="009F5B43" w:rsidRPr="00C07AF1" w14:paraId="42F76A86" w14:textId="77777777" w:rsidTr="00A07F00">
        <w:tc>
          <w:tcPr>
            <w:tcW w:w="3120" w:type="dxa"/>
            <w:vAlign w:val="center"/>
          </w:tcPr>
          <w:p w14:paraId="4B818374" w14:textId="77777777" w:rsidR="009F5B43" w:rsidRPr="00C07AF1" w:rsidRDefault="00E16AD8" w:rsidP="00E16AD8">
            <w:pPr>
              <w:pStyle w:val="Body"/>
              <w:ind w:firstLine="0"/>
              <w:jc w:val="center"/>
            </w:pPr>
            <w:r>
              <w:rPr>
                <w:noProof/>
                <w:lang w:val="fr-FR" w:eastAsia="fr-FR"/>
              </w:rPr>
              <w:drawing>
                <wp:inline distT="0" distB="0" distL="0" distR="0" wp14:anchorId="79DC73D5" wp14:editId="1954B535">
                  <wp:extent cx="1922139" cy="1440000"/>
                  <wp:effectExtent l="0" t="0" r="2540" b="8255"/>
                  <wp:docPr id="14" name="Image 14" descr="X:\MATLABWORK\ANR_SINAPS\ETUDE_ARTICLE_WCEE2017\FIG_BESTPSHANI_2018\SRO_SIG_EDF_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MATLABWORK\ANR_SINAPS\ETUDE_ARTICLE_WCEE2017\FIG_BESTPSHANI_2018\SRO_SIG_EDF_S.e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2139" cy="1440000"/>
                          </a:xfrm>
                          <a:prstGeom prst="rect">
                            <a:avLst/>
                          </a:prstGeom>
                          <a:noFill/>
                          <a:ln>
                            <a:noFill/>
                          </a:ln>
                        </pic:spPr>
                      </pic:pic>
                    </a:graphicData>
                  </a:graphic>
                </wp:inline>
              </w:drawing>
            </w:r>
          </w:p>
        </w:tc>
        <w:tc>
          <w:tcPr>
            <w:tcW w:w="3120" w:type="dxa"/>
            <w:vAlign w:val="center"/>
          </w:tcPr>
          <w:p w14:paraId="429CCF29" w14:textId="77777777" w:rsidR="009F5B43" w:rsidRPr="00C07AF1" w:rsidRDefault="00E16AD8" w:rsidP="00A07F00">
            <w:pPr>
              <w:pStyle w:val="Body"/>
              <w:ind w:firstLine="0"/>
              <w:jc w:val="center"/>
            </w:pPr>
            <w:r>
              <w:rPr>
                <w:noProof/>
                <w:lang w:val="fr-FR" w:eastAsia="fr-FR"/>
              </w:rPr>
              <w:drawing>
                <wp:inline distT="0" distB="0" distL="0" distR="0" wp14:anchorId="61B86B6C" wp14:editId="7AFDFEC6">
                  <wp:extent cx="1918705" cy="1440000"/>
                  <wp:effectExtent l="0" t="0" r="5715" b="8255"/>
                  <wp:docPr id="13" name="Image 13" descr="X:\MATLABWORK\ANR_SINAPS\ETUDE_ARTICLE_WCEE2017\FIG_BESTPSHANI_2018\SRO_SIG_EDF_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TLABWORK\ANR_SINAPS\ETUDE_ARTICLE_WCEE2017\FIG_BESTPSHANI_2018\SRO_SIG_EDF_R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8705" cy="1440000"/>
                          </a:xfrm>
                          <a:prstGeom prst="rect">
                            <a:avLst/>
                          </a:prstGeom>
                          <a:noFill/>
                          <a:ln>
                            <a:noFill/>
                          </a:ln>
                        </pic:spPr>
                      </pic:pic>
                    </a:graphicData>
                  </a:graphic>
                </wp:inline>
              </w:drawing>
            </w:r>
          </w:p>
        </w:tc>
        <w:tc>
          <w:tcPr>
            <w:tcW w:w="3120" w:type="dxa"/>
            <w:vAlign w:val="center"/>
          </w:tcPr>
          <w:p w14:paraId="14C41F74" w14:textId="77777777" w:rsidR="009F5B43" w:rsidRPr="00C07AF1" w:rsidRDefault="003421B1" w:rsidP="00A07F00">
            <w:pPr>
              <w:pStyle w:val="Body"/>
              <w:ind w:firstLine="0"/>
              <w:jc w:val="center"/>
            </w:pPr>
            <w:r>
              <w:rPr>
                <w:noProof/>
                <w:lang w:val="fr-FR" w:eastAsia="fr-FR"/>
              </w:rPr>
              <w:drawing>
                <wp:inline distT="0" distB="0" distL="0" distR="0" wp14:anchorId="7D23EB63" wp14:editId="660A1FBC">
                  <wp:extent cx="1922139" cy="1440000"/>
                  <wp:effectExtent l="0" t="0" r="2540" b="8255"/>
                  <wp:docPr id="15" name="Image 15" descr="X:\MATLABWORK\ANR_SINAPS\ETUDE_ARTICLE_WCEE2017\FIG_BESTPSHANI_2018\SRO_SIG_EDF_Med_SvsR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MATLABWORK\ANR_SINAPS\ETUDE_ARTICLE_WCEE2017\FIG_BESTPSHANI_2018\SRO_SIG_EDF_Med_SvsRA.e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2139" cy="1440000"/>
                          </a:xfrm>
                          <a:prstGeom prst="rect">
                            <a:avLst/>
                          </a:prstGeom>
                          <a:noFill/>
                          <a:ln>
                            <a:noFill/>
                          </a:ln>
                        </pic:spPr>
                      </pic:pic>
                    </a:graphicData>
                  </a:graphic>
                </wp:inline>
              </w:drawing>
            </w:r>
          </w:p>
        </w:tc>
      </w:tr>
      <w:tr w:rsidR="009F5B43" w:rsidRPr="007D461F" w14:paraId="33D44AE2" w14:textId="77777777" w:rsidTr="00A07F00">
        <w:tc>
          <w:tcPr>
            <w:tcW w:w="3120" w:type="dxa"/>
            <w:vAlign w:val="center"/>
          </w:tcPr>
          <w:p w14:paraId="28BE782A" w14:textId="77777777" w:rsidR="009F5B43" w:rsidRPr="007D461F" w:rsidRDefault="009F5B43" w:rsidP="00A07F00">
            <w:pPr>
              <w:pStyle w:val="Body"/>
              <w:ind w:firstLine="0"/>
              <w:jc w:val="center"/>
              <w:rPr>
                <w:i/>
                <w:noProof/>
                <w:sz w:val="22"/>
                <w:szCs w:val="22"/>
                <w:lang w:val="fr-FR" w:eastAsia="fr-FR"/>
              </w:rPr>
            </w:pPr>
            <w:r w:rsidRPr="007D461F">
              <w:rPr>
                <w:i/>
                <w:sz w:val="22"/>
                <w:szCs w:val="22"/>
              </w:rPr>
              <w:t>(a)</w:t>
            </w:r>
            <w:r w:rsidRPr="007D461F">
              <w:rPr>
                <w:i/>
                <w:sz w:val="22"/>
                <w:szCs w:val="22"/>
                <w:lang w:eastAsia="fr-FR"/>
              </w:rPr>
              <w:t xml:space="preserve"> Approach 1</w:t>
            </w:r>
          </w:p>
        </w:tc>
        <w:tc>
          <w:tcPr>
            <w:tcW w:w="3120" w:type="dxa"/>
            <w:vAlign w:val="center"/>
          </w:tcPr>
          <w:p w14:paraId="2E14A2CC" w14:textId="77777777" w:rsidR="009F5B43" w:rsidRPr="007D461F" w:rsidRDefault="009F5B43" w:rsidP="00A07F00">
            <w:pPr>
              <w:pStyle w:val="Body"/>
              <w:ind w:firstLine="0"/>
              <w:jc w:val="center"/>
              <w:rPr>
                <w:i/>
                <w:noProof/>
                <w:sz w:val="22"/>
                <w:szCs w:val="22"/>
                <w:lang w:val="fr-FR" w:eastAsia="fr-FR"/>
              </w:rPr>
            </w:pPr>
            <w:r w:rsidRPr="007D461F">
              <w:rPr>
                <w:i/>
                <w:sz w:val="22"/>
                <w:szCs w:val="22"/>
              </w:rPr>
              <w:t>(b)</w:t>
            </w:r>
            <w:r w:rsidRPr="007D461F">
              <w:rPr>
                <w:i/>
                <w:sz w:val="22"/>
                <w:szCs w:val="22"/>
                <w:lang w:eastAsia="fr-FR"/>
              </w:rPr>
              <w:t xml:space="preserve"> Approach 2</w:t>
            </w:r>
          </w:p>
        </w:tc>
        <w:tc>
          <w:tcPr>
            <w:tcW w:w="3120" w:type="dxa"/>
            <w:vAlign w:val="center"/>
          </w:tcPr>
          <w:p w14:paraId="68B64725" w14:textId="77777777" w:rsidR="009F5B43" w:rsidRPr="007D461F" w:rsidRDefault="009F5B43" w:rsidP="0051392A">
            <w:pPr>
              <w:pStyle w:val="Body"/>
              <w:ind w:firstLine="0"/>
              <w:jc w:val="center"/>
              <w:rPr>
                <w:i/>
                <w:noProof/>
                <w:sz w:val="22"/>
                <w:szCs w:val="22"/>
                <w:lang w:val="en-US" w:eastAsia="fr-FR"/>
              </w:rPr>
            </w:pPr>
            <w:r w:rsidRPr="007D461F">
              <w:rPr>
                <w:i/>
                <w:sz w:val="22"/>
                <w:szCs w:val="22"/>
              </w:rPr>
              <w:t xml:space="preserve">(c) </w:t>
            </w:r>
            <w:r w:rsidR="0051392A" w:rsidRPr="007D461F">
              <w:rPr>
                <w:i/>
                <w:sz w:val="22"/>
                <w:szCs w:val="22"/>
              </w:rPr>
              <w:t>M</w:t>
            </w:r>
            <w:r w:rsidRPr="007D461F">
              <w:rPr>
                <w:i/>
                <w:sz w:val="22"/>
                <w:szCs w:val="22"/>
              </w:rPr>
              <w:t>edian response spectra Approach 1 vs Approach2</w:t>
            </w:r>
          </w:p>
        </w:tc>
      </w:tr>
    </w:tbl>
    <w:p w14:paraId="72497DEA" w14:textId="5A4F2A94" w:rsidR="004E113E" w:rsidRPr="007D461F" w:rsidRDefault="008F502F" w:rsidP="004E113E">
      <w:pPr>
        <w:pStyle w:val="Body"/>
        <w:ind w:firstLine="0"/>
        <w:jc w:val="center"/>
        <w:rPr>
          <w:i/>
          <w:sz w:val="22"/>
          <w:szCs w:val="22"/>
        </w:rPr>
      </w:pPr>
      <w:r>
        <w:rPr>
          <w:i/>
          <w:sz w:val="22"/>
          <w:szCs w:val="22"/>
        </w:rPr>
        <w:t xml:space="preserve">Fig. </w:t>
      </w:r>
      <w:r w:rsidR="00571E80">
        <w:rPr>
          <w:i/>
          <w:sz w:val="22"/>
          <w:szCs w:val="22"/>
        </w:rPr>
        <w:t>6</w:t>
      </w:r>
      <w:r w:rsidR="004E113E" w:rsidRPr="007D461F">
        <w:rPr>
          <w:i/>
          <w:sz w:val="22"/>
          <w:szCs w:val="22"/>
        </w:rPr>
        <w:t>. Synthetic signal response spectra for 5% damping: (a) on the soil surface, (b) on the outcropping bedrock. Curves are the means and dotted curves are the means (+/-) one standard deviation.</w:t>
      </w:r>
    </w:p>
    <w:p w14:paraId="08707498" w14:textId="77777777" w:rsidR="004E113E" w:rsidRPr="00C07AF1" w:rsidRDefault="004E113E" w:rsidP="004B541C">
      <w:pPr>
        <w:pStyle w:val="Titre1"/>
      </w:pPr>
      <w:r w:rsidRPr="00C07AF1">
        <w:t>SOIL COLUMN DECONVOLUTION</w:t>
      </w:r>
    </w:p>
    <w:p w14:paraId="5D35A4FD" w14:textId="77777777" w:rsidR="004E113E" w:rsidRPr="00C07AF1" w:rsidRDefault="004E113E" w:rsidP="004E113E">
      <w:pPr>
        <w:pStyle w:val="Body"/>
        <w:ind w:firstLine="0"/>
      </w:pPr>
      <w:r w:rsidRPr="00C07AF1">
        <w:t>By assuming the soil near the reactor building horizontally stratified, soil column deconvolution has been carried out for each synthetic signal by supposing that the seismic waves propagates vertically. This was done on a vertical column of soil representative of the site. The goal was twofold: the first was to obtain the linear equivalent soil profile to calculate the soil springs and the second was to get the ground motions at different depths of the free field, especially the motion at the structure foundation level which is used as the “foundation input motion” to compute the response of the coupled soil-structure system.</w:t>
      </w:r>
    </w:p>
    <w:p w14:paraId="6E075978" w14:textId="77777777" w:rsidR="004E113E" w:rsidRPr="00C07AF1" w:rsidRDefault="004E113E" w:rsidP="00180189">
      <w:pPr>
        <w:pStyle w:val="Titre2"/>
      </w:pPr>
      <w:r w:rsidRPr="00C07AF1">
        <w:t>Computer Codes Used</w:t>
      </w:r>
    </w:p>
    <w:p w14:paraId="2B004F73" w14:textId="0C0FDC7A" w:rsidR="004E113E" w:rsidRPr="00C07AF1" w:rsidRDefault="004E113E" w:rsidP="004E113E">
      <w:pPr>
        <w:pStyle w:val="Body"/>
        <w:ind w:firstLine="0"/>
      </w:pPr>
      <w:r w:rsidRPr="00C07AF1">
        <w:t xml:space="preserve">Two computer codes have been used for the deconvolution of the horizontal seismic motion. The first is a procedure called “DECONV” that we have developed in the general-purpose finite element code CAST3M and the second is the code EERA programmed by Bardet et al </w:t>
      </w:r>
      <w:r w:rsidR="0065766D">
        <w:t>[12]</w:t>
      </w:r>
      <w:r w:rsidRPr="00C07AF1">
        <w:t xml:space="preserve">. Both codes are based on the same assumptions of one-dimensional wave propagation on a vertical soil column and an iterative process using the strain-dependent soil properties curves of </w:t>
      </w:r>
      <w:r w:rsidR="007B2141">
        <w:t>Fig.</w:t>
      </w:r>
      <w:r w:rsidRPr="00C07AF1">
        <w:t xml:space="preserve"> 2 as mentioned above but their methods of computation are different. In CAST3M, the deconvolution is performed numerically in the time domain. The soil column is explicitly represented by solid finite elements which are constrained in the vertical direction. A horizontal impulsive force is applied at the bottom of the column and the dynamic response of every node are computed in the time domain. In doing this, a Rayleigh damping model has to be used which means the damping ratio is frequency-dependent. Transfer functions of the soil column are obtained by transforming the computed responses to the frequency domain. On the other hand, </w:t>
      </w:r>
      <w:r w:rsidRPr="00C07AF1">
        <w:lastRenderedPageBreak/>
        <w:t xml:space="preserve">the code EERA is a modern implementation of the code SHAKE in which the deconvolution is performed analytically in the frequency domain with a constant frequency-independent damping ratio. </w:t>
      </w:r>
    </w:p>
    <w:p w14:paraId="45F4B62F" w14:textId="77777777" w:rsidR="004E113E" w:rsidRPr="00C07AF1" w:rsidRDefault="004E113E" w:rsidP="00180189">
      <w:pPr>
        <w:pStyle w:val="Titre2"/>
      </w:pPr>
      <w:r w:rsidRPr="00C07AF1">
        <w:t xml:space="preserve">Signal Deconvolution and Limit of Validity </w:t>
      </w:r>
    </w:p>
    <w:p w14:paraId="57FE06E2" w14:textId="5C1D42DD" w:rsidR="004E113E" w:rsidRPr="00C07AF1" w:rsidRDefault="004E113E" w:rsidP="004E113E">
      <w:pPr>
        <w:pStyle w:val="Body"/>
        <w:ind w:firstLine="0"/>
      </w:pPr>
      <w:r w:rsidRPr="00C07AF1">
        <w:t>The signals for Approach 1 were generated for the soils surface (control point 1</w:t>
      </w:r>
      <w:r w:rsidR="00965168">
        <w:t>, Fig. 5</w:t>
      </w:r>
      <w:r w:rsidRPr="00C07AF1">
        <w:t xml:space="preserve">). Each of the 250 signals (amplification factors of 0.5, 1, 2, 2.5 and 3 on initial 50 data) has been de-convoluted to different soil depths using both computer codes described above. In this process, the frequency content over 15 Hz was filtered out because the GMPE response spectrum used tends to be wide band which doesn’t reflect the reality of the site as can be seen in </w:t>
      </w:r>
      <w:r w:rsidR="008F502F">
        <w:t xml:space="preserve">Fig. </w:t>
      </w:r>
      <w:r w:rsidR="00571E80">
        <w:t>7</w:t>
      </w:r>
      <w:r w:rsidRPr="00C07AF1">
        <w:t xml:space="preserve"> showing the free-field recordings during the NCOE main-shock.</w:t>
      </w:r>
    </w:p>
    <w:p w14:paraId="475AF5D3" w14:textId="77777777" w:rsidR="004E113E" w:rsidRPr="00C07AF1" w:rsidRDefault="004E113E"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119"/>
        <w:gridCol w:w="3119"/>
      </w:tblGrid>
      <w:tr w:rsidR="004E113E" w:rsidRPr="00C07AF1" w14:paraId="3FE059AE" w14:textId="77777777" w:rsidTr="004E113E">
        <w:tc>
          <w:tcPr>
            <w:tcW w:w="3120" w:type="dxa"/>
            <w:vAlign w:val="center"/>
          </w:tcPr>
          <w:p w14:paraId="079584CF" w14:textId="5C8AF15D" w:rsidR="004E113E" w:rsidRPr="00C07AF1" w:rsidRDefault="00B7499A" w:rsidP="004E113E">
            <w:pPr>
              <w:pStyle w:val="Body"/>
              <w:ind w:firstLine="0"/>
              <w:jc w:val="center"/>
            </w:pPr>
            <w:r>
              <w:rPr>
                <w:noProof/>
                <w:lang w:val="fr-FR" w:eastAsia="fr-FR"/>
              </w:rPr>
              <w:drawing>
                <wp:inline distT="0" distB="0" distL="0" distR="0" wp14:anchorId="2A5F1055" wp14:editId="7856D6E8">
                  <wp:extent cx="1729908" cy="2160000"/>
                  <wp:effectExtent l="0" t="0" r="3810" b="0"/>
                  <wp:docPr id="3" name="Image 3" descr="X:\MATLABWORK\ANR_SINAPS\ETUDE_ARTICLE_WCEE2017\FIG_BESTPSHANI_2018\S_5G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TLABWORK\ANR_SINAPS\ETUDE_ARTICLE_WCEE2017\FIG_BESTPSHANI_2018\S_5G1.e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9908" cy="2160000"/>
                          </a:xfrm>
                          <a:prstGeom prst="rect">
                            <a:avLst/>
                          </a:prstGeom>
                          <a:noFill/>
                          <a:ln>
                            <a:noFill/>
                          </a:ln>
                        </pic:spPr>
                      </pic:pic>
                    </a:graphicData>
                  </a:graphic>
                </wp:inline>
              </w:drawing>
            </w:r>
          </w:p>
        </w:tc>
        <w:tc>
          <w:tcPr>
            <w:tcW w:w="3120" w:type="dxa"/>
            <w:vAlign w:val="center"/>
          </w:tcPr>
          <w:p w14:paraId="0E14B4EC" w14:textId="77777777" w:rsidR="004E113E" w:rsidRPr="00C07AF1" w:rsidRDefault="005B6ECB" w:rsidP="004E113E">
            <w:pPr>
              <w:pStyle w:val="Body"/>
              <w:ind w:firstLine="0"/>
              <w:jc w:val="center"/>
            </w:pPr>
            <w:r>
              <w:rPr>
                <w:noProof/>
                <w:lang w:val="fr-FR" w:eastAsia="fr-FR"/>
              </w:rPr>
              <w:drawing>
                <wp:inline distT="0" distB="0" distL="0" distR="0" wp14:anchorId="09B97AB4" wp14:editId="2BA50FCD">
                  <wp:extent cx="1922139" cy="1440000"/>
                  <wp:effectExtent l="0" t="0" r="2540" b="8255"/>
                  <wp:docPr id="18" name="Image 18" descr="X:\MATLABWORK\ANR_SINAPS\ETUDE_ARTICLE_WCEE2017\FIG_BESTPSHANI_2018\GMPE_vs_5G1_N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MATLABWORK\ANR_SINAPS\ETUDE_ARTICLE_WCEE2017\FIG_BESTPSHANI_2018\GMPE_vs_5G1_NS.e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2139" cy="1440000"/>
                          </a:xfrm>
                          <a:prstGeom prst="rect">
                            <a:avLst/>
                          </a:prstGeom>
                          <a:noFill/>
                          <a:ln>
                            <a:noFill/>
                          </a:ln>
                        </pic:spPr>
                      </pic:pic>
                    </a:graphicData>
                  </a:graphic>
                </wp:inline>
              </w:drawing>
            </w:r>
          </w:p>
        </w:tc>
        <w:tc>
          <w:tcPr>
            <w:tcW w:w="3120" w:type="dxa"/>
            <w:vAlign w:val="center"/>
          </w:tcPr>
          <w:p w14:paraId="4B6D6C4B" w14:textId="77777777" w:rsidR="004E113E" w:rsidRPr="00C07AF1" w:rsidRDefault="005B6ECB" w:rsidP="005B6ECB">
            <w:pPr>
              <w:pStyle w:val="Body"/>
              <w:ind w:firstLine="0"/>
              <w:jc w:val="center"/>
            </w:pPr>
            <w:r>
              <w:rPr>
                <w:noProof/>
                <w:lang w:val="fr-FR" w:eastAsia="fr-FR"/>
              </w:rPr>
              <w:drawing>
                <wp:inline distT="0" distB="0" distL="0" distR="0" wp14:anchorId="765BFF17" wp14:editId="42560A78">
                  <wp:extent cx="1922139" cy="1440000"/>
                  <wp:effectExtent l="0" t="0" r="2540" b="8255"/>
                  <wp:docPr id="16" name="Image 16" descr="X:\MATLABWORK\ANR_SINAPS\ETUDE_ARTICLE_WCEE2017\FIG_BESTPSHANI_2018\GMPE_vs_5G1_E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ATLABWORK\ANR_SINAPS\ETUDE_ARTICLE_WCEE2017\FIG_BESTPSHANI_2018\GMPE_vs_5G1_EW.e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2139" cy="1440000"/>
                          </a:xfrm>
                          <a:prstGeom prst="rect">
                            <a:avLst/>
                          </a:prstGeom>
                          <a:noFill/>
                          <a:ln>
                            <a:noFill/>
                          </a:ln>
                        </pic:spPr>
                      </pic:pic>
                    </a:graphicData>
                  </a:graphic>
                </wp:inline>
              </w:drawing>
            </w:r>
          </w:p>
        </w:tc>
        <w:bookmarkStart w:id="0" w:name="_GoBack"/>
        <w:bookmarkEnd w:id="0"/>
      </w:tr>
    </w:tbl>
    <w:p w14:paraId="1CDD3949" w14:textId="5625DB49" w:rsidR="004E113E" w:rsidRPr="002C0A99" w:rsidRDefault="008F502F" w:rsidP="004E113E">
      <w:pPr>
        <w:pStyle w:val="Body"/>
        <w:ind w:firstLine="0"/>
        <w:jc w:val="center"/>
        <w:rPr>
          <w:i/>
          <w:sz w:val="22"/>
          <w:szCs w:val="22"/>
        </w:rPr>
      </w:pPr>
      <w:r>
        <w:rPr>
          <w:i/>
          <w:sz w:val="22"/>
          <w:szCs w:val="22"/>
        </w:rPr>
        <w:t xml:space="preserve">Fig. </w:t>
      </w:r>
      <w:r w:rsidR="00571E80">
        <w:rPr>
          <w:i/>
          <w:sz w:val="22"/>
          <w:szCs w:val="22"/>
        </w:rPr>
        <w:t>7</w:t>
      </w:r>
      <w:r w:rsidR="004E113E" w:rsidRPr="002C0A99">
        <w:rPr>
          <w:i/>
          <w:sz w:val="22"/>
          <w:szCs w:val="22"/>
        </w:rPr>
        <w:t>. Recorded horizontal accelerations during the 2007 NCO earthquake (Station 5G1, free field surface near RB7) and their normalized response spectra versus the normalized medians of the synthetic ground motions response spectr</w:t>
      </w:r>
      <w:r w:rsidR="009C037D" w:rsidRPr="002C0A99">
        <w:rPr>
          <w:i/>
          <w:sz w:val="22"/>
          <w:szCs w:val="22"/>
        </w:rPr>
        <w:t>a for 5% damping</w:t>
      </w:r>
      <w:r w:rsidR="00B6673D">
        <w:rPr>
          <w:i/>
          <w:sz w:val="22"/>
          <w:szCs w:val="22"/>
        </w:rPr>
        <w:t xml:space="preserve"> before filtration</w:t>
      </w:r>
    </w:p>
    <w:p w14:paraId="6DEB6D86" w14:textId="77777777" w:rsidR="004E113E" w:rsidRPr="00C07AF1" w:rsidRDefault="004E113E" w:rsidP="004E113E">
      <w:pPr>
        <w:pStyle w:val="Body"/>
        <w:ind w:firstLine="0"/>
      </w:pPr>
    </w:p>
    <w:p w14:paraId="7BD59CDF" w14:textId="36F55969" w:rsidR="004E113E" w:rsidRDefault="004E113E" w:rsidP="004E113E">
      <w:pPr>
        <w:pStyle w:val="Body"/>
        <w:ind w:firstLine="0"/>
      </w:pPr>
      <w:r w:rsidRPr="00C07AF1">
        <w:t>The signals for Approach 2 were generated for outcropping bedrock (control point 2</w:t>
      </w:r>
      <w:r w:rsidR="00965168">
        <w:t>, Fig. 5</w:t>
      </w:r>
      <w:r w:rsidRPr="00C07AF1">
        <w:t>). Each of the 250 signals (amplification factors of 0.5, 1, 2, 2.5 and 3 on initial 50 data) has also been de-convoluted to different soil depths using both computer codes but this time they have not been filtered as previously.</w:t>
      </w:r>
      <w:r w:rsidR="00A7109B">
        <w:t xml:space="preserve"> </w:t>
      </w:r>
      <w:r w:rsidRPr="00C07AF1">
        <w:t xml:space="preserve">A significant number of seismic signals (notably those scaled with strong amplifying factors 2, 2.5 and 3, and more particularly among the Approach 1 signals) produced “divergence” in the deconvolution process, highlighting the problem related to the use of the linear equivalent method beyond its usual limitations (0.1% for maximum shear strain in the literature, threshold also recommended by ASN </w:t>
      </w:r>
      <w:r w:rsidR="0065766D">
        <w:t>[</w:t>
      </w:r>
      <w:r w:rsidR="00180189">
        <w:t>7</w:t>
      </w:r>
      <w:r w:rsidR="0065766D">
        <w:t>]</w:t>
      </w:r>
      <w:r w:rsidRPr="00C07AF1">
        <w:t>) to a soil site which is highly non-linear under strong seismic motions. In the following, all signals which lead to soil shear strain exceeding 0.8% will in fact be eliminated from the simulation population as it has been mentioned earlier in this paper.</w:t>
      </w:r>
      <w:r w:rsidR="00A7109B">
        <w:t xml:space="preserve"> </w:t>
      </w:r>
      <w:r w:rsidR="008F502F">
        <w:t xml:space="preserve">Fig. </w:t>
      </w:r>
      <w:r w:rsidR="00571E80">
        <w:t>8</w:t>
      </w:r>
      <w:r w:rsidRPr="00C07AF1">
        <w:t xml:space="preserve"> shows a comparison between CAST3M and the code EERA in terms of linear equivalent soil profile and the response spectra of the free field motion at -13.7 m corresponding to level of the bottom face of the basemat. These are the results for one signal of the Approach 1 and </w:t>
      </w:r>
      <w:r w:rsidR="004F3C7F">
        <w:t>one</w:t>
      </w:r>
      <w:r w:rsidRPr="00C07AF1">
        <w:t xml:space="preserve"> signal for the Approach 2. We can see that the two codes lead to almost the same results except for some small differences on the response spectra which are due to the different damping models used by the two codes.</w:t>
      </w:r>
    </w:p>
    <w:p w14:paraId="4CF00621" w14:textId="77777777" w:rsidR="00A7109B" w:rsidRPr="00C07AF1" w:rsidRDefault="00A7109B" w:rsidP="004E113E">
      <w:pPr>
        <w:pStyle w:val="Body"/>
        <w:ind w:firstLine="0"/>
      </w:pPr>
    </w:p>
    <w:tbl>
      <w:tblPr>
        <w:tblW w:w="9498" w:type="dxa"/>
        <w:tblInd w:w="108" w:type="dxa"/>
        <w:tblLook w:val="04A0" w:firstRow="1" w:lastRow="0" w:firstColumn="1" w:lastColumn="0" w:noHBand="0" w:noVBand="1"/>
      </w:tblPr>
      <w:tblGrid>
        <w:gridCol w:w="4749"/>
        <w:gridCol w:w="4749"/>
      </w:tblGrid>
      <w:tr w:rsidR="004E113E" w:rsidRPr="00C07AF1" w14:paraId="1DA4A356" w14:textId="77777777" w:rsidTr="00E502F9">
        <w:tc>
          <w:tcPr>
            <w:tcW w:w="4749" w:type="dxa"/>
            <w:shd w:val="clear" w:color="auto" w:fill="auto"/>
            <w:vAlign w:val="center"/>
          </w:tcPr>
          <w:p w14:paraId="2F280837" w14:textId="77777777" w:rsidR="004E113E" w:rsidRPr="00C07AF1" w:rsidRDefault="008E0D6E" w:rsidP="004E113E">
            <w:pPr>
              <w:pStyle w:val="Body"/>
            </w:pPr>
            <w:r>
              <w:rPr>
                <w:noProof/>
                <w:lang w:val="fr-FR" w:eastAsia="fr-FR"/>
              </w:rPr>
              <w:lastRenderedPageBreak/>
              <w:drawing>
                <wp:inline distT="0" distB="0" distL="0" distR="0" wp14:anchorId="20E597E2" wp14:editId="23008275">
                  <wp:extent cx="2101031" cy="2520000"/>
                  <wp:effectExtent l="0" t="0" r="0" b="0"/>
                  <wp:docPr id="37" name="Image 37" descr="X:\MATLABWORK\ANR_SINAPS\ETUDE_ARTICLE_WCEE2017\FIG_BESTPSHANI_2018\EERA_vs_C3M_deterministe_R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MATLABWORK\ANR_SINAPS\ETUDE_ARTICLE_WCEE2017\FIG_BESTPSHANI_2018\EERA_vs_C3M_deterministe_RA.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1031" cy="2520000"/>
                          </a:xfrm>
                          <a:prstGeom prst="rect">
                            <a:avLst/>
                          </a:prstGeom>
                          <a:noFill/>
                          <a:ln>
                            <a:noFill/>
                          </a:ln>
                        </pic:spPr>
                      </pic:pic>
                    </a:graphicData>
                  </a:graphic>
                </wp:inline>
              </w:drawing>
            </w:r>
          </w:p>
        </w:tc>
        <w:tc>
          <w:tcPr>
            <w:tcW w:w="4749" w:type="dxa"/>
            <w:shd w:val="clear" w:color="auto" w:fill="auto"/>
          </w:tcPr>
          <w:p w14:paraId="2DCFF2DC" w14:textId="77777777" w:rsidR="004E113E" w:rsidRPr="00C07AF1" w:rsidRDefault="008E0D6E" w:rsidP="004E113E">
            <w:pPr>
              <w:pStyle w:val="Body"/>
            </w:pPr>
            <w:r>
              <w:rPr>
                <w:noProof/>
                <w:lang w:val="fr-FR" w:eastAsia="fr-FR"/>
              </w:rPr>
              <w:drawing>
                <wp:inline distT="0" distB="0" distL="0" distR="0" wp14:anchorId="659995AC" wp14:editId="500FD926">
                  <wp:extent cx="2101031" cy="2520000"/>
                  <wp:effectExtent l="0" t="0" r="0" b="0"/>
                  <wp:docPr id="38" name="Image 38" descr="X:\MATLABWORK\ANR_SINAPS\ETUDE_ARTICLE_WCEE2017\FIG_BESTPSHANI_2018\EERA_vs_C3M_deterministe_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MATLABWORK\ANR_SINAPS\ETUDE_ARTICLE_WCEE2017\FIG_BESTPSHANI_2018\EERA_vs_C3M_deterministe_S.e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1031" cy="2520000"/>
                          </a:xfrm>
                          <a:prstGeom prst="rect">
                            <a:avLst/>
                          </a:prstGeom>
                          <a:noFill/>
                          <a:ln>
                            <a:noFill/>
                          </a:ln>
                        </pic:spPr>
                      </pic:pic>
                    </a:graphicData>
                  </a:graphic>
                </wp:inline>
              </w:drawing>
            </w:r>
          </w:p>
        </w:tc>
      </w:tr>
      <w:tr w:rsidR="004E113E" w:rsidRPr="002C0A99" w14:paraId="4FA01C4E" w14:textId="77777777" w:rsidTr="00E502F9">
        <w:tc>
          <w:tcPr>
            <w:tcW w:w="4749" w:type="dxa"/>
            <w:shd w:val="clear" w:color="auto" w:fill="auto"/>
            <w:vAlign w:val="center"/>
          </w:tcPr>
          <w:p w14:paraId="501AE3AC" w14:textId="77777777" w:rsidR="004E113E" w:rsidRPr="002C0A99" w:rsidRDefault="004E113E" w:rsidP="004E113E">
            <w:pPr>
              <w:pStyle w:val="Body"/>
              <w:rPr>
                <w:i/>
                <w:sz w:val="22"/>
                <w:szCs w:val="22"/>
              </w:rPr>
            </w:pPr>
            <w:r w:rsidRPr="002C0A99">
              <w:rPr>
                <w:i/>
                <w:sz w:val="22"/>
                <w:szCs w:val="22"/>
              </w:rPr>
              <w:t>(a) Approach 1, signal no.1, X direction</w:t>
            </w:r>
          </w:p>
        </w:tc>
        <w:tc>
          <w:tcPr>
            <w:tcW w:w="4749" w:type="dxa"/>
            <w:shd w:val="clear" w:color="auto" w:fill="auto"/>
          </w:tcPr>
          <w:p w14:paraId="329D17A0" w14:textId="77777777" w:rsidR="004E113E" w:rsidRPr="002C0A99" w:rsidRDefault="004E113E" w:rsidP="004E113E">
            <w:pPr>
              <w:pStyle w:val="Body"/>
              <w:rPr>
                <w:i/>
                <w:sz w:val="22"/>
                <w:szCs w:val="22"/>
              </w:rPr>
            </w:pPr>
            <w:r w:rsidRPr="002C0A99">
              <w:rPr>
                <w:i/>
                <w:sz w:val="22"/>
                <w:szCs w:val="22"/>
              </w:rPr>
              <w:t>(b) Approach 2, signal no.1, X direction</w:t>
            </w:r>
          </w:p>
        </w:tc>
      </w:tr>
    </w:tbl>
    <w:p w14:paraId="4C6ACB9B" w14:textId="0D2F95F1" w:rsidR="004E113E" w:rsidRPr="00C07AF1" w:rsidRDefault="008F502F" w:rsidP="004E113E">
      <w:pPr>
        <w:spacing w:after="200"/>
        <w:jc w:val="center"/>
        <w:rPr>
          <w:szCs w:val="24"/>
        </w:rPr>
      </w:pPr>
      <w:r>
        <w:rPr>
          <w:rFonts w:ascii="Times New Roman" w:hAnsi="Times New Roman"/>
          <w:i/>
          <w:sz w:val="22"/>
          <w:szCs w:val="22"/>
        </w:rPr>
        <w:t xml:space="preserve">Fig. </w:t>
      </w:r>
      <w:r w:rsidR="00571E80">
        <w:rPr>
          <w:rFonts w:ascii="Times New Roman" w:hAnsi="Times New Roman"/>
          <w:i/>
          <w:sz w:val="22"/>
          <w:szCs w:val="22"/>
        </w:rPr>
        <w:t>8</w:t>
      </w:r>
      <w:r w:rsidR="004E113E" w:rsidRPr="002C0A99">
        <w:rPr>
          <w:rFonts w:ascii="Times New Roman" w:hAnsi="Times New Roman"/>
          <w:i/>
          <w:sz w:val="22"/>
          <w:szCs w:val="22"/>
        </w:rPr>
        <w:t>. Soil column deconvolution: CAST3M vs EERA, linear equivalent soil profiles and response spectra at -13.7 m TMSL (bottom face of the basemat).</w:t>
      </w:r>
    </w:p>
    <w:p w14:paraId="3811C908" w14:textId="77777777" w:rsidR="004E113E" w:rsidRPr="00C07AF1" w:rsidRDefault="004E113E" w:rsidP="00156B1F">
      <w:pPr>
        <w:pStyle w:val="Titre1"/>
      </w:pPr>
      <w:r w:rsidRPr="00C07AF1">
        <w:t>REACTOR BUILDING RESPONSE</w:t>
      </w:r>
    </w:p>
    <w:p w14:paraId="1D5A1BF0" w14:textId="77777777" w:rsidR="004E113E" w:rsidRPr="00C07AF1" w:rsidRDefault="004E113E" w:rsidP="00180189">
      <w:pPr>
        <w:pStyle w:val="Titre2"/>
      </w:pPr>
      <w:r w:rsidRPr="00C07AF1">
        <w:t>Foundation Input Motion</w:t>
      </w:r>
    </w:p>
    <w:p w14:paraId="24EE8C79" w14:textId="116BD137" w:rsidR="004E113E" w:rsidRPr="00C07AF1" w:rsidRDefault="004E113E" w:rsidP="004E113E">
      <w:pPr>
        <w:pStyle w:val="Body"/>
        <w:ind w:firstLine="0"/>
      </w:pPr>
      <w:r w:rsidRPr="00C07AF1">
        <w:t xml:space="preserve">In order to calculate the reactor building response, the free field motion obtained by deconvolution at the depth corresponding to the bottom face of the basemat (-13.7m TMSL, </w:t>
      </w:r>
      <w:r w:rsidR="007B2141">
        <w:t>Fig.</w:t>
      </w:r>
      <w:r w:rsidRPr="00C07AF1">
        <w:t xml:space="preserve"> 3) has been taken as the “foundation input motion”. This is an approximation used in the </w:t>
      </w:r>
      <w:r w:rsidR="00D86FFA">
        <w:t xml:space="preserve">French engineering </w:t>
      </w:r>
      <w:r w:rsidRPr="00C07AF1">
        <w:t xml:space="preserve">practice </w:t>
      </w:r>
      <w:r w:rsidR="00D86FFA">
        <w:t xml:space="preserve">(RCC-CW 2015 [13]) </w:t>
      </w:r>
      <w:r w:rsidRPr="00C07AF1">
        <w:t>which simplifies enormously the computation of building response. The real “foundation input motion” should be the kinematic response of the soil-structure system (soil + massless structure) under the seismic motion.</w:t>
      </w:r>
    </w:p>
    <w:p w14:paraId="6E8FBFF7" w14:textId="77777777" w:rsidR="004E113E" w:rsidRPr="00C07AF1" w:rsidRDefault="004E113E" w:rsidP="00180189">
      <w:pPr>
        <w:pStyle w:val="Titre2"/>
      </w:pPr>
      <w:r w:rsidRPr="00C07AF1">
        <w:t>Response of the Building</w:t>
      </w:r>
    </w:p>
    <w:p w14:paraId="0ABD007F" w14:textId="177CEE06" w:rsidR="00B07534" w:rsidRDefault="004E113E" w:rsidP="004E113E">
      <w:pPr>
        <w:pStyle w:val="Body"/>
        <w:ind w:firstLine="0"/>
      </w:pPr>
      <w:r w:rsidRPr="00C07AF1">
        <w:t>The reactor building responses at each floor, for the signals of Approach 1 and Approach 2, have been computed by the code CAST3M using the usual modal superposition method. In the analysis, 9 modes under the frequency of 30 Hz were considered. The modes of the coupled system depend on the impedances of the soil springs which are frequency-dependent functions and are specific to each input seismic signal through the deconvolution process. These modes were determined in an iterative way so that the coefficients of the soil springs and dashpots correspond to that of the system’s first frequency. It has turned out that the first frequency of the system varies around 2.2 Hz and dominate to a great extent all the other modes in structural response as will be discussed in last part of this paper.</w:t>
      </w:r>
    </w:p>
    <w:p w14:paraId="23734078" w14:textId="77777777" w:rsidR="00B07534" w:rsidRDefault="00B07534" w:rsidP="004E113E">
      <w:pPr>
        <w:pStyle w:val="Body"/>
        <w:ind w:firstLine="0"/>
      </w:pPr>
    </w:p>
    <w:p w14:paraId="1BC467E9" w14:textId="1E172877" w:rsidR="004E113E" w:rsidRDefault="00A07F00" w:rsidP="004E113E">
      <w:pPr>
        <w:pStyle w:val="Body"/>
        <w:ind w:firstLine="0"/>
      </w:pPr>
      <w:r>
        <w:t xml:space="preserve">The NCO earthquake recordings have been used to check the validity of the system modelling and the analysis method used in this study. </w:t>
      </w:r>
      <w:r w:rsidR="00B07534">
        <w:t>Fig. 9</w:t>
      </w:r>
      <w:r w:rsidR="00B07534" w:rsidRPr="00981611">
        <w:t xml:space="preserve"> shows </w:t>
      </w:r>
      <w:r w:rsidR="00B07534">
        <w:t xml:space="preserve">the </w:t>
      </w:r>
      <w:r w:rsidR="00B07534" w:rsidRPr="00981611">
        <w:t xml:space="preserve">comparison of absolute accelerations </w:t>
      </w:r>
      <w:r w:rsidR="00576D1A">
        <w:t xml:space="preserve">of the third floor </w:t>
      </w:r>
      <w:r w:rsidR="00B07534" w:rsidRPr="00981611">
        <w:t xml:space="preserve">and </w:t>
      </w:r>
      <w:r w:rsidR="00576D1A">
        <w:t xml:space="preserve">the </w:t>
      </w:r>
      <w:r w:rsidR="00B07534" w:rsidRPr="00981611">
        <w:t>response spectra in the X dire</w:t>
      </w:r>
      <w:r w:rsidR="00576D1A">
        <w:t xml:space="preserve">ction, between </w:t>
      </w:r>
      <w:r w:rsidR="00ED16EF">
        <w:t xml:space="preserve">the stick model, the </w:t>
      </w:r>
      <w:r w:rsidR="00B07534" w:rsidRPr="00981611">
        <w:t>3D fin</w:t>
      </w:r>
      <w:r w:rsidR="00ED16EF">
        <w:t>ite element model</w:t>
      </w:r>
      <w:r w:rsidR="00B07534">
        <w:t xml:space="preserve"> and the </w:t>
      </w:r>
      <w:r w:rsidR="00B07534" w:rsidRPr="00981611">
        <w:t>record</w:t>
      </w:r>
      <w:r w:rsidR="00B07534">
        <w:t>ed response</w:t>
      </w:r>
      <w:r w:rsidR="00B07534" w:rsidRPr="00981611">
        <w:t>.</w:t>
      </w:r>
      <w:r>
        <w:t xml:space="preserve"> </w:t>
      </w:r>
      <w:r w:rsidR="00ED16EF">
        <w:t>We can see that despite the simplicity of the stick model, it is capable to represent the main feature the building response.</w:t>
      </w:r>
    </w:p>
    <w:tbl>
      <w:tblPr>
        <w:tblW w:w="0" w:type="auto"/>
        <w:tblInd w:w="392" w:type="dxa"/>
        <w:tblLook w:val="04A0" w:firstRow="1" w:lastRow="0" w:firstColumn="1" w:lastColumn="0" w:noHBand="0" w:noVBand="1"/>
      </w:tblPr>
      <w:tblGrid>
        <w:gridCol w:w="4337"/>
        <w:gridCol w:w="4340"/>
      </w:tblGrid>
      <w:tr w:rsidR="00981611" w:rsidRPr="00C07AF1" w14:paraId="1A883B10" w14:textId="77777777" w:rsidTr="00DB5036">
        <w:tc>
          <w:tcPr>
            <w:tcW w:w="4337" w:type="dxa"/>
            <w:shd w:val="clear" w:color="auto" w:fill="auto"/>
            <w:vAlign w:val="center"/>
          </w:tcPr>
          <w:p w14:paraId="65B79761" w14:textId="42F865BD" w:rsidR="00981611" w:rsidRPr="00C07AF1" w:rsidRDefault="00490714" w:rsidP="00A07F00">
            <w:pPr>
              <w:pStyle w:val="Body"/>
              <w:ind w:firstLine="0"/>
              <w:jc w:val="center"/>
            </w:pPr>
            <w:r>
              <w:rPr>
                <w:noProof/>
                <w:lang w:val="fr-FR" w:eastAsia="fr-FR"/>
              </w:rPr>
              <w:lastRenderedPageBreak/>
              <w:drawing>
                <wp:inline distT="0" distB="0" distL="0" distR="0" wp14:anchorId="46CEA850" wp14:editId="40F2F14B">
                  <wp:extent cx="2881601" cy="2160000"/>
                  <wp:effectExtent l="0" t="0" r="0" b="0"/>
                  <wp:docPr id="7" name="Image 7" descr="X:\MATLABWORK\ANR_SINAPS\ETUDE_ARTICLE_WCEE2017\FIG_BESTPSHANI_2018\Temp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MATLABWORK\ANR_SINAPS\ETUDE_ARTICLE_WCEE2017\FIG_BESTPSHANI_2018\Tempo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1601" cy="2160000"/>
                          </a:xfrm>
                          <a:prstGeom prst="rect">
                            <a:avLst/>
                          </a:prstGeom>
                          <a:noFill/>
                          <a:ln>
                            <a:noFill/>
                          </a:ln>
                        </pic:spPr>
                      </pic:pic>
                    </a:graphicData>
                  </a:graphic>
                </wp:inline>
              </w:drawing>
            </w:r>
          </w:p>
        </w:tc>
        <w:tc>
          <w:tcPr>
            <w:tcW w:w="4340" w:type="dxa"/>
            <w:shd w:val="clear" w:color="auto" w:fill="auto"/>
            <w:vAlign w:val="center"/>
          </w:tcPr>
          <w:p w14:paraId="4F3760C5" w14:textId="756E8F23" w:rsidR="00981611" w:rsidRPr="00C07AF1" w:rsidRDefault="00490714" w:rsidP="00A07F00">
            <w:pPr>
              <w:pStyle w:val="Body"/>
              <w:ind w:firstLine="0"/>
              <w:jc w:val="center"/>
            </w:pPr>
            <w:r>
              <w:rPr>
                <w:noProof/>
                <w:lang w:val="fr-FR" w:eastAsia="fr-FR"/>
              </w:rPr>
              <w:drawing>
                <wp:inline distT="0" distB="0" distL="0" distR="0" wp14:anchorId="3C2FC80E" wp14:editId="1A72EAC4">
                  <wp:extent cx="2882978" cy="2160000"/>
                  <wp:effectExtent l="0" t="0" r="0" b="0"/>
                  <wp:docPr id="12" name="Image 12" descr="X:\MATLABWORK\ANR_SINAPS\ETUDE_ARTICLE_WCEE2017\FIG_BESTPSHANI_2018\SROX.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ATLABWORK\ANR_SINAPS\ETUDE_ARTICLE_WCEE2017\FIG_BESTPSHANI_2018\SROX.e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981611" w:rsidRPr="00264647" w14:paraId="2FCD8CF2" w14:textId="77777777" w:rsidTr="00DB5036">
        <w:tc>
          <w:tcPr>
            <w:tcW w:w="4337" w:type="dxa"/>
            <w:shd w:val="clear" w:color="auto" w:fill="auto"/>
            <w:vAlign w:val="center"/>
          </w:tcPr>
          <w:p w14:paraId="774E91F3" w14:textId="77777777" w:rsidR="00981611" w:rsidRPr="00264647" w:rsidRDefault="00981611" w:rsidP="00981611">
            <w:pPr>
              <w:pStyle w:val="Body"/>
              <w:numPr>
                <w:ilvl w:val="0"/>
                <w:numId w:val="16"/>
              </w:numPr>
              <w:jc w:val="center"/>
              <w:rPr>
                <w:i/>
                <w:sz w:val="22"/>
                <w:szCs w:val="22"/>
              </w:rPr>
            </w:pPr>
            <w:r w:rsidRPr="00264647">
              <w:rPr>
                <w:i/>
                <w:sz w:val="22"/>
                <w:szCs w:val="22"/>
              </w:rPr>
              <w:t>Absolute Acceleration</w:t>
            </w:r>
          </w:p>
        </w:tc>
        <w:tc>
          <w:tcPr>
            <w:tcW w:w="4340" w:type="dxa"/>
            <w:shd w:val="clear" w:color="auto" w:fill="auto"/>
            <w:vAlign w:val="center"/>
          </w:tcPr>
          <w:p w14:paraId="1C421FE0" w14:textId="57B56DC9" w:rsidR="00981611" w:rsidRPr="00264647" w:rsidRDefault="00981611" w:rsidP="00B97CCF">
            <w:pPr>
              <w:pStyle w:val="Body"/>
              <w:numPr>
                <w:ilvl w:val="0"/>
                <w:numId w:val="16"/>
              </w:numPr>
              <w:jc w:val="center"/>
              <w:rPr>
                <w:i/>
                <w:sz w:val="22"/>
                <w:szCs w:val="22"/>
              </w:rPr>
            </w:pPr>
            <w:r w:rsidRPr="00264647">
              <w:rPr>
                <w:i/>
                <w:sz w:val="22"/>
                <w:szCs w:val="22"/>
              </w:rPr>
              <w:t>Floor Response Spectra</w:t>
            </w:r>
          </w:p>
        </w:tc>
      </w:tr>
      <w:tr w:rsidR="00DB5036" w:rsidRPr="00264647" w14:paraId="3874E3DC" w14:textId="77777777" w:rsidTr="00BF7C76">
        <w:tc>
          <w:tcPr>
            <w:tcW w:w="8677" w:type="dxa"/>
            <w:gridSpan w:val="2"/>
            <w:shd w:val="clear" w:color="auto" w:fill="auto"/>
            <w:vAlign w:val="center"/>
          </w:tcPr>
          <w:p w14:paraId="5E748DE8" w14:textId="58D6DBA5" w:rsidR="00DB5036" w:rsidRPr="00264647" w:rsidRDefault="00DB5036" w:rsidP="00B97CCF">
            <w:pPr>
              <w:jc w:val="center"/>
            </w:pPr>
            <w:r>
              <w:rPr>
                <w:rFonts w:ascii="Times New Roman" w:eastAsia="Times New Roman" w:hAnsi="Times New Roman"/>
                <w:i/>
                <w:sz w:val="22"/>
                <w:szCs w:val="22"/>
                <w:lang w:eastAsia="pt-BR"/>
              </w:rPr>
              <w:t>Fig. 9</w:t>
            </w:r>
            <w:r w:rsidRPr="00264647">
              <w:rPr>
                <w:rFonts w:ascii="Times New Roman" w:eastAsia="Times New Roman" w:hAnsi="Times New Roman"/>
                <w:i/>
                <w:sz w:val="22"/>
                <w:szCs w:val="22"/>
                <w:lang w:eastAsia="pt-BR"/>
              </w:rPr>
              <w:t xml:space="preserve">. Comparison of </w:t>
            </w:r>
            <w:r>
              <w:rPr>
                <w:rFonts w:ascii="Times New Roman" w:eastAsia="Times New Roman" w:hAnsi="Times New Roman"/>
                <w:i/>
                <w:sz w:val="22"/>
                <w:szCs w:val="22"/>
                <w:lang w:eastAsia="pt-BR"/>
              </w:rPr>
              <w:t xml:space="preserve">(a) </w:t>
            </w:r>
            <w:r w:rsidRPr="00264647">
              <w:rPr>
                <w:rFonts w:ascii="Times New Roman" w:eastAsia="Times New Roman" w:hAnsi="Times New Roman"/>
                <w:i/>
                <w:sz w:val="22"/>
                <w:szCs w:val="22"/>
                <w:lang w:eastAsia="pt-BR"/>
              </w:rPr>
              <w:t xml:space="preserve">Absolute Accelerations and </w:t>
            </w:r>
            <w:r>
              <w:rPr>
                <w:rFonts w:ascii="Times New Roman" w:eastAsia="Times New Roman" w:hAnsi="Times New Roman"/>
                <w:i/>
                <w:sz w:val="22"/>
                <w:szCs w:val="22"/>
                <w:lang w:eastAsia="pt-BR"/>
              </w:rPr>
              <w:t xml:space="preserve">(b) </w:t>
            </w:r>
            <w:r w:rsidRPr="00264647">
              <w:rPr>
                <w:rFonts w:ascii="Times New Roman" w:eastAsia="Times New Roman" w:hAnsi="Times New Roman"/>
                <w:i/>
                <w:sz w:val="22"/>
                <w:szCs w:val="22"/>
                <w:lang w:eastAsia="pt-BR"/>
              </w:rPr>
              <w:t>Floor Response Spectra in the X direction, between lumped-mass sti</w:t>
            </w:r>
            <w:r>
              <w:rPr>
                <w:rFonts w:ascii="Times New Roman" w:eastAsia="Times New Roman" w:hAnsi="Times New Roman"/>
                <w:i/>
                <w:sz w:val="22"/>
                <w:szCs w:val="22"/>
                <w:lang w:eastAsia="pt-BR"/>
              </w:rPr>
              <w:t>ck and</w:t>
            </w:r>
            <w:r w:rsidRPr="00264647">
              <w:rPr>
                <w:rFonts w:ascii="Times New Roman" w:eastAsia="Times New Roman" w:hAnsi="Times New Roman"/>
                <w:i/>
                <w:sz w:val="22"/>
                <w:szCs w:val="22"/>
                <w:lang w:eastAsia="pt-BR"/>
              </w:rPr>
              <w:t xml:space="preserve"> 3D finite element models </w:t>
            </w:r>
            <w:r>
              <w:rPr>
                <w:rFonts w:ascii="Times New Roman" w:eastAsia="Times New Roman" w:hAnsi="Times New Roman"/>
                <w:i/>
                <w:sz w:val="22"/>
                <w:szCs w:val="22"/>
                <w:lang w:eastAsia="pt-BR"/>
              </w:rPr>
              <w:t>and the recorded response</w:t>
            </w:r>
          </w:p>
        </w:tc>
      </w:tr>
    </w:tbl>
    <w:p w14:paraId="58D30ED0" w14:textId="77777777" w:rsidR="004E113E" w:rsidRPr="00C07AF1" w:rsidRDefault="004E113E" w:rsidP="00F30406">
      <w:pPr>
        <w:pStyle w:val="Titre1"/>
      </w:pPr>
      <w:r w:rsidRPr="00C07AF1">
        <w:t xml:space="preserve">FRAGILITY CURVES </w:t>
      </w:r>
      <w:r w:rsidRPr="00F30406">
        <w:t>ASSESSMENT</w:t>
      </w:r>
    </w:p>
    <w:p w14:paraId="33EC321B" w14:textId="74D8A9C1" w:rsidR="004E113E" w:rsidRPr="00C07AF1" w:rsidRDefault="004E113E" w:rsidP="004E113E">
      <w:pPr>
        <w:pStyle w:val="Body"/>
        <w:ind w:firstLine="0"/>
      </w:pPr>
      <w:r w:rsidRPr="00C07AF1">
        <w:t xml:space="preserve">In this study, fragility curves are estimated for a single-mode equipment at 4 Hz damped at 5% fixed on the third floor (+23.5 m TMSL). Thus, the failure criterion is the exceedance of the Floor Response Spectra at 4 Hz (FRS (4 Hz, 5%)) of a level of acceleration which will be considered as a variable to be more comprehensive. </w:t>
      </w:r>
      <w:r w:rsidR="008F502F">
        <w:t>Fig. 10</w:t>
      </w:r>
      <w:r w:rsidRPr="00C07AF1">
        <w:t xml:space="preserve"> shows the scatter plots of the maxima of the responses of the equipment subjected to the four sets of foundation input motions (two deconvolution codes and two approaches for generation seismic signals), as function of PGA values estimated at the control point 3</w:t>
      </w:r>
      <w:r w:rsidR="00965168">
        <w:t>(Fig. 5)</w:t>
      </w:r>
      <w:r w:rsidRPr="00C07AF1">
        <w:t xml:space="preserve">. This </w:t>
      </w:r>
      <w:r w:rsidR="0002184E">
        <w:t>figure</w:t>
      </w:r>
      <w:r w:rsidRPr="00C07AF1">
        <w:t xml:space="preserve"> shows that the results produced by the four sets of data (for which the soil shear strain is lower or equal to 0.8%) seem to have a similar trend, and are particularly coherent in the very low range of PGA.</w:t>
      </w:r>
    </w:p>
    <w:tbl>
      <w:tblPr>
        <w:tblW w:w="0" w:type="auto"/>
        <w:tblInd w:w="108" w:type="dxa"/>
        <w:tblLook w:val="04A0" w:firstRow="1" w:lastRow="0" w:firstColumn="1" w:lastColumn="0" w:noHBand="0" w:noVBand="1"/>
      </w:tblPr>
      <w:tblGrid>
        <w:gridCol w:w="8961"/>
      </w:tblGrid>
      <w:tr w:rsidR="004E113E" w:rsidRPr="00C07AF1" w14:paraId="206A2A0D" w14:textId="77777777" w:rsidTr="004E113E">
        <w:tc>
          <w:tcPr>
            <w:tcW w:w="8964" w:type="dxa"/>
            <w:shd w:val="clear" w:color="auto" w:fill="auto"/>
            <w:vAlign w:val="center"/>
          </w:tcPr>
          <w:p w14:paraId="64A1709D" w14:textId="30A63A74" w:rsidR="004E113E" w:rsidRPr="00C07AF1" w:rsidRDefault="00A832B2" w:rsidP="00932798">
            <w:pPr>
              <w:pStyle w:val="Body"/>
              <w:ind w:firstLine="0"/>
            </w:pPr>
            <w:r>
              <w:rPr>
                <w:noProof/>
                <w:lang w:val="fr-FR" w:eastAsia="fr-FR"/>
              </w:rPr>
              <w:drawing>
                <wp:inline distT="0" distB="0" distL="0" distR="0" wp14:anchorId="2FE03498" wp14:editId="15F59886">
                  <wp:extent cx="5835089" cy="2160000"/>
                  <wp:effectExtent l="0" t="0" r="0" b="0"/>
                  <wp:docPr id="74" name="Image 74" descr="X:\MATLABWORK\ANR_SINAPS\ETUDE_ARTICLE_WCEE2017\FIG_BESTPSHANI_2018\Scatterplo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MATLABWORK\ANR_SINAPS\ETUDE_ARTICLE_WCEE2017\FIG_BESTPSHANI_2018\Scatterplot.e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5089" cy="2160000"/>
                          </a:xfrm>
                          <a:prstGeom prst="rect">
                            <a:avLst/>
                          </a:prstGeom>
                          <a:noFill/>
                          <a:ln>
                            <a:noFill/>
                          </a:ln>
                        </pic:spPr>
                      </pic:pic>
                    </a:graphicData>
                  </a:graphic>
                </wp:inline>
              </w:drawing>
            </w:r>
          </w:p>
        </w:tc>
      </w:tr>
      <w:tr w:rsidR="004E113E" w:rsidRPr="008D37C8" w14:paraId="4B1C2803" w14:textId="77777777" w:rsidTr="004E113E">
        <w:tc>
          <w:tcPr>
            <w:tcW w:w="8964" w:type="dxa"/>
            <w:shd w:val="clear" w:color="auto" w:fill="auto"/>
            <w:vAlign w:val="center"/>
          </w:tcPr>
          <w:p w14:paraId="23DC0798" w14:textId="77777777" w:rsidR="004E113E" w:rsidRPr="008D37C8" w:rsidRDefault="008F502F" w:rsidP="004E113E">
            <w:pPr>
              <w:pStyle w:val="Body"/>
              <w:jc w:val="center"/>
              <w:rPr>
                <w:i/>
                <w:sz w:val="22"/>
                <w:szCs w:val="22"/>
              </w:rPr>
            </w:pPr>
            <w:r>
              <w:rPr>
                <w:i/>
                <w:sz w:val="22"/>
                <w:szCs w:val="22"/>
              </w:rPr>
              <w:t>Fig. 10</w:t>
            </w:r>
            <w:r w:rsidR="004E113E" w:rsidRPr="008D37C8">
              <w:rPr>
                <w:i/>
                <w:sz w:val="22"/>
                <w:szCs w:val="22"/>
              </w:rPr>
              <w:t>. Floor Response Spectra at 4 Hz versus PGA values evaluated at the control point 3 – comparison between the results of CAST3M and EERA for the two approaches</w:t>
            </w:r>
          </w:p>
        </w:tc>
      </w:tr>
    </w:tbl>
    <w:p w14:paraId="1237D41C" w14:textId="77777777" w:rsidR="004E113E" w:rsidRPr="00C07AF1" w:rsidRDefault="004E113E" w:rsidP="004E113E">
      <w:pPr>
        <w:pStyle w:val="Body"/>
      </w:pPr>
    </w:p>
    <w:p w14:paraId="02D0E18F" w14:textId="77777777" w:rsidR="004E113E" w:rsidRPr="00C07AF1" w:rsidRDefault="004E113E" w:rsidP="004E113E">
      <w:pPr>
        <w:pStyle w:val="Body"/>
        <w:ind w:firstLine="0"/>
      </w:pPr>
      <w:r w:rsidRPr="00C07AF1">
        <w:t>The fragility curves have been approximated by the cumulative distribution function (cdf) of a lognormal random variable:</w:t>
      </w:r>
    </w:p>
    <w:p w14:paraId="2269E4F2" w14:textId="77777777" w:rsidR="004E113E" w:rsidRPr="00C07AF1" w:rsidRDefault="00B7499A" w:rsidP="004E113E">
      <w:pPr>
        <w:pStyle w:val="Body"/>
        <w:jc w:val="center"/>
      </w:pPr>
      <m:oMathPara>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f</m:t>
              </m:r>
            </m:sub>
          </m:sSub>
          <m:d>
            <m:dPr>
              <m:ctrlPr>
                <w:rPr>
                  <w:rFonts w:ascii="Cambria Math" w:eastAsia="Calibri" w:hAnsi="Cambria Math"/>
                  <w:i/>
                </w:rPr>
              </m:ctrlPr>
            </m:dPr>
            <m:e>
              <m:r>
                <w:rPr>
                  <w:rFonts w:ascii="Cambria Math" w:eastAsia="Calibri" w:hAnsi="Cambria Math"/>
                </w:rPr>
                <m:t>a</m:t>
              </m:r>
            </m:e>
          </m:d>
          <m:r>
            <w:rPr>
              <w:rFonts w:ascii="Cambria Math" w:eastAsia="Calibri" w:hAnsi="Cambria Math"/>
            </w:rPr>
            <m:t>=</m:t>
          </m:r>
          <m:r>
            <m:rPr>
              <m:sty m:val="p"/>
            </m:rPr>
            <w:rPr>
              <w:rFonts w:ascii="Cambria Math" w:eastAsia="Calibri" w:hAnsi="Cambria Math"/>
            </w:rPr>
            <m:t>Φ</m:t>
          </m:r>
          <m:d>
            <m:dPr>
              <m:ctrlPr>
                <w:rPr>
                  <w:rFonts w:ascii="Cambria Math" w:eastAsia="Calibri" w:hAnsi="Cambria Math"/>
                  <w:i/>
                </w:rPr>
              </m:ctrlPr>
            </m:dPr>
            <m:e>
              <m:f>
                <m:fPr>
                  <m:ctrlPr>
                    <w:rPr>
                      <w:rFonts w:ascii="Cambria Math" w:eastAsia="Calibri" w:hAnsi="Cambria Math"/>
                      <w:i/>
                    </w:rPr>
                  </m:ctrlPr>
                </m:fPr>
                <m:num>
                  <m:func>
                    <m:funcPr>
                      <m:ctrlPr>
                        <w:rPr>
                          <w:rFonts w:ascii="Cambria Math" w:eastAsia="Calibri" w:hAnsi="Cambria Math"/>
                        </w:rPr>
                      </m:ctrlPr>
                    </m:funcPr>
                    <m:fName>
                      <m:r>
                        <m:rPr>
                          <m:sty m:val="p"/>
                        </m:rPr>
                        <w:rPr>
                          <w:rFonts w:ascii="Cambria Math" w:eastAsia="Calibri" w:hAnsi="Cambria Math"/>
                        </w:rPr>
                        <m:t>ln</m:t>
                      </m:r>
                      <m:ctrlPr>
                        <w:rPr>
                          <w:rFonts w:ascii="Cambria Math" w:eastAsia="Calibri" w:hAnsi="Cambria Math"/>
                          <w:i/>
                        </w:rPr>
                      </m:ctrlPr>
                    </m:fName>
                    <m:e>
                      <m:d>
                        <m:dPr>
                          <m:ctrlPr>
                            <w:rPr>
                              <w:rFonts w:ascii="Cambria Math" w:eastAsia="Calibri" w:hAnsi="Cambria Math"/>
                              <w:i/>
                            </w:rPr>
                          </m:ctrlPr>
                        </m:dPr>
                        <m:e>
                          <m:f>
                            <m:fPr>
                              <m:type m:val="lin"/>
                              <m:ctrlPr>
                                <w:rPr>
                                  <w:rFonts w:ascii="Cambria Math" w:eastAsia="Calibri" w:hAnsi="Cambria Math"/>
                                  <w:i/>
                                </w:rPr>
                              </m:ctrlPr>
                            </m:fPr>
                            <m:num>
                              <m:r>
                                <w:rPr>
                                  <w:rFonts w:ascii="Cambria Math" w:eastAsia="Calibri" w:hAnsi="Cambria Math"/>
                                </w:rPr>
                                <m:t>a</m:t>
                              </m:r>
                            </m:num>
                            <m:den>
                              <m:sSub>
                                <m:sSubPr>
                                  <m:ctrlPr>
                                    <w:rPr>
                                      <w:rFonts w:ascii="Cambria Math" w:eastAsia="Calibri" w:hAnsi="Cambria Math"/>
                                      <w:i/>
                                    </w:rPr>
                                  </m:ctrlPr>
                                </m:sSubPr>
                                <m:e>
                                  <m:r>
                                    <w:rPr>
                                      <w:rFonts w:ascii="Cambria Math" w:eastAsia="Calibri" w:hAnsi="Cambria Math"/>
                                    </w:rPr>
                                    <m:t>A</m:t>
                                  </m:r>
                                </m:e>
                                <m:sub>
                                  <m:r>
                                    <w:rPr>
                                      <w:rFonts w:ascii="Cambria Math" w:eastAsia="Calibri" w:hAnsi="Cambria Math"/>
                                    </w:rPr>
                                    <m:t>m</m:t>
                                  </m:r>
                                </m:sub>
                              </m:sSub>
                            </m:den>
                          </m:f>
                        </m:e>
                      </m:d>
                    </m:e>
                  </m:func>
                </m:num>
                <m:den>
                  <m:r>
                    <w:rPr>
                      <w:rFonts w:ascii="Cambria Math" w:eastAsia="Calibri" w:hAnsi="Cambria Math"/>
                    </w:rPr>
                    <m:t>β</m:t>
                  </m:r>
                </m:den>
              </m:f>
            </m:e>
          </m:d>
        </m:oMath>
      </m:oMathPara>
    </w:p>
    <w:p w14:paraId="5380E205" w14:textId="7C2212D8" w:rsidR="004E113E" w:rsidRPr="00C07AF1" w:rsidRDefault="004E113E" w:rsidP="004E113E">
      <w:pPr>
        <w:pStyle w:val="Body"/>
        <w:ind w:firstLine="0"/>
      </w:pPr>
      <w:r w:rsidRPr="00C07AF1">
        <w:t xml:space="preserve">where </w:t>
      </w:r>
      <m:oMath>
        <m:r>
          <m:rPr>
            <m:sty m:val="p"/>
          </m:rPr>
          <w:rPr>
            <w:rFonts w:ascii="Cambria Math" w:eastAsia="Calibri" w:hAnsi="Cambria Math"/>
          </w:rPr>
          <m:t>Φ</m:t>
        </m:r>
        <m:r>
          <w:rPr>
            <w:rFonts w:ascii="Cambria Math" w:eastAsia="SimSun" w:hAnsi="Cambria Math"/>
          </w:rPr>
          <m:t>(∙)</m:t>
        </m:r>
      </m:oMath>
      <w:r w:rsidRPr="00C07AF1">
        <w:t xml:space="preserve"> is the standard Gaussian cdf. The median </w:t>
      </w:r>
      <m:oMath>
        <m:sSub>
          <m:sSubPr>
            <m:ctrlPr>
              <w:rPr>
                <w:rFonts w:ascii="Cambria Math" w:eastAsia="Calibri" w:hAnsi="Cambria Math"/>
                <w:i/>
              </w:rPr>
            </m:ctrlPr>
          </m:sSubPr>
          <m:e>
            <m:r>
              <w:rPr>
                <w:rFonts w:ascii="Cambria Math" w:eastAsia="Calibri" w:hAnsi="Cambria Math"/>
              </w:rPr>
              <m:t>A</m:t>
            </m:r>
          </m:e>
          <m:sub>
            <m:r>
              <w:rPr>
                <w:rFonts w:ascii="Cambria Math" w:eastAsia="Calibri" w:hAnsi="Cambria Math"/>
              </w:rPr>
              <m:t>m</m:t>
            </m:r>
          </m:sub>
        </m:sSub>
      </m:oMath>
      <w:r w:rsidRPr="00C07AF1">
        <w:t xml:space="preserve"> and the standard deviation </w:t>
      </w:r>
      <m:oMath>
        <m:r>
          <w:rPr>
            <w:rFonts w:ascii="Cambria Math" w:eastAsia="Calibri" w:hAnsi="Cambria Math"/>
          </w:rPr>
          <m:t>β</m:t>
        </m:r>
      </m:oMath>
      <w:r w:rsidRPr="00C07AF1">
        <w:t xml:space="preserve"> have been evaluated using the principle of maximum likelihood and a confidence interval has been estimated using a bootstrap method </w:t>
      </w:r>
      <w:r w:rsidR="00180189">
        <w:t>[1</w:t>
      </w:r>
      <w:r w:rsidR="00D86FFA">
        <w:t>4</w:t>
      </w:r>
      <w:r w:rsidR="00180189">
        <w:t>]</w:t>
      </w:r>
      <w:r w:rsidRPr="00C07AF1">
        <w:t>.</w:t>
      </w:r>
      <w:r w:rsidR="00304DAE">
        <w:t xml:space="preserve"> </w:t>
      </w:r>
      <w:r w:rsidR="008F502F">
        <w:t>Fig. 11</w:t>
      </w:r>
      <w:r w:rsidRPr="00C07AF1">
        <w:t xml:space="preserve"> illustrates the fragility curves estimated with </w:t>
      </w:r>
      <w:r w:rsidRPr="00C07AF1">
        <w:lastRenderedPageBreak/>
        <w:t xml:space="preserve">the four sets of data, for failure criteria of 0.2g and 0.7g. This </w:t>
      </w:r>
      <w:r w:rsidR="0000208B">
        <w:t>figure</w:t>
      </w:r>
      <w:r w:rsidRPr="00C07AF1">
        <w:t xml:space="preserve"> shows that by defining excitation at the surface, the fragility of the equipment is underestimated.</w:t>
      </w:r>
    </w:p>
    <w:tbl>
      <w:tblPr>
        <w:tblW w:w="0" w:type="auto"/>
        <w:tblInd w:w="108" w:type="dxa"/>
        <w:tblLook w:val="04A0" w:firstRow="1" w:lastRow="0" w:firstColumn="1" w:lastColumn="0" w:noHBand="0" w:noVBand="1"/>
      </w:tblPr>
      <w:tblGrid>
        <w:gridCol w:w="4480"/>
        <w:gridCol w:w="4481"/>
      </w:tblGrid>
      <w:tr w:rsidR="004E113E" w:rsidRPr="00C07AF1" w14:paraId="6311D706" w14:textId="77777777" w:rsidTr="004E113E">
        <w:tc>
          <w:tcPr>
            <w:tcW w:w="4647" w:type="dxa"/>
            <w:shd w:val="clear" w:color="auto" w:fill="auto"/>
            <w:vAlign w:val="center"/>
          </w:tcPr>
          <w:p w14:paraId="4A3C75AB" w14:textId="4A1BAAFB" w:rsidR="004E113E" w:rsidRPr="00C07AF1" w:rsidRDefault="00A9744D" w:rsidP="004E113E">
            <w:pPr>
              <w:pStyle w:val="Body"/>
              <w:ind w:firstLine="0"/>
              <w:jc w:val="left"/>
            </w:pPr>
            <w:r>
              <w:rPr>
                <w:noProof/>
                <w:lang w:val="fr-FR" w:eastAsia="fr-FR"/>
              </w:rPr>
              <w:drawing>
                <wp:inline distT="0" distB="0" distL="0" distR="0" wp14:anchorId="6FE42AB8" wp14:editId="10DC6CC8">
                  <wp:extent cx="2882978" cy="2160000"/>
                  <wp:effectExtent l="0" t="0" r="0" b="0"/>
                  <wp:docPr id="72" name="Image 72" descr="X:\MATLABWORK\ANR_SINAPS\ETUDE_ARTICLE_WCEE2017\FIG_BESTPSHANI_2018\CF_RAvsS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MATLABWORK\ANR_SINAPS\ETUDE_ARTICLE_WCEE2017\FIG_BESTPSHANI_2018\CF_RAvsS1.em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c>
          <w:tcPr>
            <w:tcW w:w="4755" w:type="dxa"/>
            <w:shd w:val="clear" w:color="auto" w:fill="auto"/>
            <w:vAlign w:val="center"/>
          </w:tcPr>
          <w:p w14:paraId="0C7AEE3A" w14:textId="4239DD5B" w:rsidR="004E113E" w:rsidRPr="00C07AF1" w:rsidRDefault="00F13A3B" w:rsidP="004E113E">
            <w:pPr>
              <w:pStyle w:val="Body"/>
              <w:ind w:firstLine="0"/>
            </w:pPr>
            <w:r>
              <w:rPr>
                <w:noProof/>
                <w:lang w:val="fr-FR" w:eastAsia="fr-FR"/>
              </w:rPr>
              <w:drawing>
                <wp:inline distT="0" distB="0" distL="0" distR="0" wp14:anchorId="0B7400B0" wp14:editId="094DE9B5">
                  <wp:extent cx="2882978" cy="2160000"/>
                  <wp:effectExtent l="0" t="0" r="0" b="0"/>
                  <wp:docPr id="6" name="Image 6" descr="X:\MATLABWORK\ANR_SINAPS\ETUDE_ARTICLE_WCEE2017\FIG_BESTPSHANI_2018\CF_RAvsS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TLABWORK\ANR_SINAPS\ETUDE_ARTICLE_WCEE2017\FIG_BESTPSHANI_2018\CF_RAvsS2.em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4E113E" w:rsidRPr="0045058D" w14:paraId="4EA526CE" w14:textId="77777777" w:rsidTr="004E113E">
        <w:tc>
          <w:tcPr>
            <w:tcW w:w="4647" w:type="dxa"/>
            <w:shd w:val="clear" w:color="auto" w:fill="auto"/>
            <w:vAlign w:val="center"/>
          </w:tcPr>
          <w:p w14:paraId="3E72E49C" w14:textId="77777777" w:rsidR="004E113E" w:rsidRPr="0045058D" w:rsidRDefault="00E43104" w:rsidP="004E113E">
            <w:pPr>
              <w:pStyle w:val="Body"/>
              <w:jc w:val="center"/>
              <w:rPr>
                <w:i/>
                <w:sz w:val="22"/>
                <w:szCs w:val="22"/>
              </w:rPr>
            </w:pPr>
            <w:r w:rsidRPr="0045058D">
              <w:rPr>
                <w:i/>
                <w:sz w:val="22"/>
                <w:szCs w:val="22"/>
              </w:rPr>
              <w:t>(</w:t>
            </w:r>
            <w:r w:rsidR="004E113E" w:rsidRPr="0045058D">
              <w:rPr>
                <w:i/>
                <w:sz w:val="22"/>
                <w:szCs w:val="22"/>
              </w:rPr>
              <w:t>a</w:t>
            </w:r>
            <w:r w:rsidRPr="0045058D">
              <w:rPr>
                <w:i/>
                <w:sz w:val="22"/>
                <w:szCs w:val="22"/>
              </w:rPr>
              <w:t>)</w:t>
            </w:r>
          </w:p>
        </w:tc>
        <w:tc>
          <w:tcPr>
            <w:tcW w:w="4755" w:type="dxa"/>
            <w:shd w:val="clear" w:color="auto" w:fill="auto"/>
            <w:vAlign w:val="center"/>
          </w:tcPr>
          <w:p w14:paraId="58B90FEF" w14:textId="77777777" w:rsidR="004E113E" w:rsidRPr="0045058D" w:rsidRDefault="00E43104" w:rsidP="004E113E">
            <w:pPr>
              <w:pStyle w:val="Body"/>
              <w:jc w:val="center"/>
              <w:rPr>
                <w:bCs/>
                <w:i/>
                <w:sz w:val="22"/>
                <w:szCs w:val="22"/>
              </w:rPr>
            </w:pPr>
            <w:r w:rsidRPr="0045058D">
              <w:rPr>
                <w:bCs/>
                <w:i/>
                <w:sz w:val="22"/>
                <w:szCs w:val="22"/>
              </w:rPr>
              <w:t>(</w:t>
            </w:r>
            <w:r w:rsidR="004E113E" w:rsidRPr="0045058D">
              <w:rPr>
                <w:bCs/>
                <w:i/>
                <w:sz w:val="22"/>
                <w:szCs w:val="22"/>
              </w:rPr>
              <w:t>b</w:t>
            </w:r>
            <w:r w:rsidRPr="0045058D">
              <w:rPr>
                <w:bCs/>
                <w:i/>
                <w:sz w:val="22"/>
                <w:szCs w:val="22"/>
              </w:rPr>
              <w:t>)</w:t>
            </w:r>
          </w:p>
        </w:tc>
      </w:tr>
      <w:tr w:rsidR="004E113E" w:rsidRPr="0045058D" w14:paraId="7DC3D002" w14:textId="77777777" w:rsidTr="004E113E">
        <w:tc>
          <w:tcPr>
            <w:tcW w:w="9402" w:type="dxa"/>
            <w:gridSpan w:val="2"/>
            <w:shd w:val="clear" w:color="auto" w:fill="auto"/>
            <w:vAlign w:val="center"/>
          </w:tcPr>
          <w:p w14:paraId="30CE84A7" w14:textId="77777777" w:rsidR="004E113E" w:rsidRPr="0045058D" w:rsidRDefault="008F502F" w:rsidP="004E113E">
            <w:pPr>
              <w:pStyle w:val="Body"/>
              <w:jc w:val="center"/>
              <w:rPr>
                <w:i/>
                <w:sz w:val="22"/>
                <w:szCs w:val="22"/>
              </w:rPr>
            </w:pPr>
            <w:r>
              <w:rPr>
                <w:i/>
                <w:sz w:val="22"/>
                <w:szCs w:val="22"/>
              </w:rPr>
              <w:t>Fig. 11</w:t>
            </w:r>
            <w:r w:rsidR="004E113E" w:rsidRPr="0045058D">
              <w:rPr>
                <w:i/>
                <w:sz w:val="22"/>
                <w:szCs w:val="22"/>
              </w:rPr>
              <w:t>. Two examples of median fragility curves and their 95% confidence intervals for a single-mode equipment at 4 Hz damped at 5%, for failure criteria equal to: (a) 0.2g and (b) 0.7g.</w:t>
            </w:r>
          </w:p>
        </w:tc>
      </w:tr>
    </w:tbl>
    <w:p w14:paraId="5C0FD8A8" w14:textId="77777777" w:rsidR="004E113E" w:rsidRPr="00C07AF1" w:rsidRDefault="004E113E" w:rsidP="004E113E">
      <w:pPr>
        <w:pStyle w:val="Body"/>
      </w:pPr>
    </w:p>
    <w:p w14:paraId="66F78FA7" w14:textId="77777777" w:rsidR="004E113E" w:rsidRPr="00C07AF1" w:rsidRDefault="004E113E" w:rsidP="004E113E">
      <w:pPr>
        <w:pStyle w:val="Body"/>
        <w:ind w:firstLine="0"/>
      </w:pPr>
      <w:r w:rsidRPr="00C07AF1">
        <w:t xml:space="preserve">To be more comprehensive, </w:t>
      </w:r>
      <w:r w:rsidR="008F502F">
        <w:t>Fig. 12</w:t>
      </w:r>
      <w:r w:rsidRPr="00C07AF1">
        <w:t xml:space="preserve"> shows, for a large range of failure criteria (from 0.2g to 1.1g) both the influence of the deconvolution code and of the control point to define the initial seismic motions (before deconvolution) on the estimated fragility curves parameters, through their median values and their 25% and 75% quantiles (represented by the bottom and the top of the box of each estimation). </w:t>
      </w:r>
      <w:r w:rsidR="008F502F">
        <w:t>Fig. 12</w:t>
      </w:r>
      <w:r w:rsidRPr="00C07AF1">
        <w:t xml:space="preserve"> clearly shows that only at very low acceleration levels (i.e. for which the soil distortion is of an order of magnitude of 0.1% or less) the two approaches are coherent, but when loading increases, the results obtained with the seismic motions defined at the surface, strongly differ from those obtained with the seismic motions defined at the outcropping bedrock. These trends are similar for both codes, although with CAST3M the medians of the fragility curves are slightly lower than those obtained with EERA due to the difference of the damping model.</w:t>
      </w:r>
    </w:p>
    <w:tbl>
      <w:tblPr>
        <w:tblW w:w="0" w:type="auto"/>
        <w:tblInd w:w="108" w:type="dxa"/>
        <w:tblLook w:val="04A0" w:firstRow="1" w:lastRow="0" w:firstColumn="1" w:lastColumn="0" w:noHBand="0" w:noVBand="1"/>
      </w:tblPr>
      <w:tblGrid>
        <w:gridCol w:w="8961"/>
      </w:tblGrid>
      <w:tr w:rsidR="00C17168" w:rsidRPr="00C07AF1" w14:paraId="1CB41B61" w14:textId="77777777" w:rsidTr="002173CC">
        <w:trPr>
          <w:trHeight w:val="1231"/>
        </w:trPr>
        <w:tc>
          <w:tcPr>
            <w:tcW w:w="8961" w:type="dxa"/>
            <w:shd w:val="clear" w:color="auto" w:fill="auto"/>
            <w:vAlign w:val="center"/>
          </w:tcPr>
          <w:p w14:paraId="67CF7478" w14:textId="6B2E1D67" w:rsidR="00C17168" w:rsidRPr="00C07AF1" w:rsidRDefault="00A832B2" w:rsidP="002173CC">
            <w:pPr>
              <w:pStyle w:val="Body"/>
              <w:ind w:firstLine="0"/>
              <w:jc w:val="center"/>
            </w:pPr>
            <w:r>
              <w:rPr>
                <w:noProof/>
                <w:lang w:val="fr-FR" w:eastAsia="fr-FR"/>
              </w:rPr>
              <w:drawing>
                <wp:inline distT="0" distB="0" distL="0" distR="0" wp14:anchorId="470BA232" wp14:editId="69C5C753">
                  <wp:extent cx="5186746" cy="2880000"/>
                  <wp:effectExtent l="0" t="0" r="0" b="0"/>
                  <wp:docPr id="73" name="Image 73" descr="X:\MATLABWORK\ANR_SINAPS\ETUDE_ARTICLE_WCEE2017\FIG_BESTPSHANI_2018\Med_bet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MATLABWORK\ANR_SINAPS\ETUDE_ARTICLE_WCEE2017\FIG_BESTPSHANI_2018\Med_beta.em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86746" cy="2880000"/>
                          </a:xfrm>
                          <a:prstGeom prst="rect">
                            <a:avLst/>
                          </a:prstGeom>
                          <a:noFill/>
                          <a:ln>
                            <a:noFill/>
                          </a:ln>
                        </pic:spPr>
                      </pic:pic>
                    </a:graphicData>
                  </a:graphic>
                </wp:inline>
              </w:drawing>
            </w:r>
          </w:p>
        </w:tc>
      </w:tr>
      <w:tr w:rsidR="004E113E" w:rsidRPr="0045058D" w14:paraId="1C6499BC" w14:textId="77777777" w:rsidTr="002173CC">
        <w:tc>
          <w:tcPr>
            <w:tcW w:w="8961" w:type="dxa"/>
            <w:shd w:val="clear" w:color="auto" w:fill="auto"/>
            <w:vAlign w:val="center"/>
          </w:tcPr>
          <w:p w14:paraId="0FE9EE38" w14:textId="41394BAE" w:rsidR="004E113E" w:rsidRPr="0045058D" w:rsidRDefault="008F502F" w:rsidP="002173CC">
            <w:pPr>
              <w:pStyle w:val="Body"/>
              <w:jc w:val="center"/>
              <w:rPr>
                <w:sz w:val="22"/>
                <w:szCs w:val="22"/>
              </w:rPr>
            </w:pPr>
            <w:r>
              <w:rPr>
                <w:sz w:val="22"/>
                <w:szCs w:val="22"/>
              </w:rPr>
              <w:t>Fig. 12</w:t>
            </w:r>
            <w:r w:rsidR="004E113E" w:rsidRPr="0045058D">
              <w:rPr>
                <w:sz w:val="22"/>
                <w:szCs w:val="22"/>
              </w:rPr>
              <w:t>. Comparison between estimations of the fragility curves parameters obtaine</w:t>
            </w:r>
            <w:r w:rsidR="00AD50A4">
              <w:rPr>
                <w:sz w:val="22"/>
                <w:szCs w:val="22"/>
              </w:rPr>
              <w:t>d with the four sets of data: (top</w:t>
            </w:r>
            <w:r w:rsidR="004E113E" w:rsidRPr="0045058D">
              <w:rPr>
                <w:sz w:val="22"/>
                <w:szCs w:val="22"/>
              </w:rPr>
              <w:t xml:space="preserve">) </w:t>
            </w:r>
            <m:oMath>
              <m:sSub>
                <m:sSubPr>
                  <m:ctrlPr>
                    <w:rPr>
                      <w:rFonts w:ascii="Cambria Math" w:eastAsia="Calibri" w:hAnsi="Cambria Math"/>
                      <w:i/>
                      <w:color w:val="000000"/>
                      <w:sz w:val="22"/>
                      <w:szCs w:val="22"/>
                    </w:rPr>
                  </m:ctrlPr>
                </m:sSubPr>
                <m:e>
                  <m:r>
                    <w:rPr>
                      <w:rFonts w:ascii="Cambria Math" w:eastAsia="Calibri" w:hAnsi="Cambria Math"/>
                      <w:color w:val="000000"/>
                      <w:sz w:val="22"/>
                      <w:szCs w:val="22"/>
                    </w:rPr>
                    <m:t>A</m:t>
                  </m:r>
                </m:e>
                <m:sub>
                  <m:r>
                    <w:rPr>
                      <w:rFonts w:ascii="Cambria Math" w:eastAsia="Calibri" w:hAnsi="Cambria Math"/>
                      <w:color w:val="000000"/>
                      <w:sz w:val="22"/>
                      <w:szCs w:val="22"/>
                    </w:rPr>
                    <m:t>m</m:t>
                  </m:r>
                </m:sub>
              </m:sSub>
            </m:oMath>
            <w:r w:rsidR="00AD50A4">
              <w:rPr>
                <w:sz w:val="22"/>
                <w:szCs w:val="22"/>
              </w:rPr>
              <w:t xml:space="preserve"> and (bottom</w:t>
            </w:r>
            <w:r w:rsidR="004E113E" w:rsidRPr="0045058D">
              <w:rPr>
                <w:sz w:val="22"/>
                <w:szCs w:val="22"/>
              </w:rPr>
              <w:t xml:space="preserve">) </w:t>
            </w:r>
            <m:oMath>
              <m:r>
                <w:rPr>
                  <w:rFonts w:ascii="Cambria Math" w:eastAsia="Calibri" w:hAnsi="Cambria Math"/>
                  <w:color w:val="000000"/>
                  <w:sz w:val="22"/>
                  <w:szCs w:val="22"/>
                </w:rPr>
                <m:t>β</m:t>
              </m:r>
            </m:oMath>
            <w:r w:rsidR="004E113E" w:rsidRPr="0045058D">
              <w:rPr>
                <w:sz w:val="22"/>
                <w:szCs w:val="22"/>
              </w:rPr>
              <w:t xml:space="preserve"> versus failure criteria. Circles are for median values computed with 200 bootstrap samples, vertical lines show the dispersion of the samples, the bottom and the top of the boxes indicate the quantiles at 25% and 75%.</w:t>
            </w:r>
          </w:p>
        </w:tc>
      </w:tr>
    </w:tbl>
    <w:p w14:paraId="5A6A8E66" w14:textId="77777777" w:rsidR="004E113E" w:rsidRPr="00C07AF1" w:rsidRDefault="004E113E" w:rsidP="004E113E">
      <w:pPr>
        <w:pStyle w:val="Body"/>
      </w:pPr>
    </w:p>
    <w:p w14:paraId="44E5B55F" w14:textId="77777777" w:rsidR="004E113E" w:rsidRPr="00C07AF1" w:rsidRDefault="004E113E" w:rsidP="004E113E">
      <w:pPr>
        <w:pStyle w:val="Body"/>
        <w:ind w:firstLine="0"/>
      </w:pPr>
      <w:r w:rsidRPr="00C07AF1">
        <w:t>This study illustrates the biases which can be introduced into the fragility assessment process of a complex study treated here with simple and practical numerical models. To be more comprehensive, the next part of this paper proposes a discussion aimed at giving a better understanding of these results.</w:t>
      </w:r>
    </w:p>
    <w:p w14:paraId="3B6BE0F1" w14:textId="77777777" w:rsidR="004E113E" w:rsidRPr="00C07AF1" w:rsidRDefault="004E113E" w:rsidP="00156B1F">
      <w:pPr>
        <w:pStyle w:val="Titre1"/>
      </w:pPr>
      <w:r w:rsidRPr="00C07AF1">
        <w:t>DISCUSSION</w:t>
      </w:r>
    </w:p>
    <w:p w14:paraId="34A158D1" w14:textId="77777777" w:rsidR="004E113E" w:rsidRPr="00C07AF1" w:rsidRDefault="004E113E" w:rsidP="004E113E">
      <w:pPr>
        <w:pStyle w:val="Body"/>
        <w:ind w:firstLine="0"/>
      </w:pPr>
      <w:r w:rsidRPr="00C07AF1">
        <w:t>In this part, all the results have been obtained with the EERA deconvolution code, since the numerical results of CAST3M and EERA are very similar.</w:t>
      </w:r>
    </w:p>
    <w:p w14:paraId="2CD9068B" w14:textId="457E54C8" w:rsidR="004E113E" w:rsidRPr="00C07AF1" w:rsidRDefault="004E113E" w:rsidP="00180189">
      <w:pPr>
        <w:pStyle w:val="Titre2"/>
      </w:pPr>
      <w:r w:rsidRPr="00C07AF1">
        <w:t xml:space="preserve">Uncertainty </w:t>
      </w:r>
      <w:r w:rsidR="00965168">
        <w:t>P</w:t>
      </w:r>
      <w:r w:rsidRPr="00C07AF1">
        <w:t>ropagation</w:t>
      </w:r>
    </w:p>
    <w:p w14:paraId="1CDCDA51" w14:textId="77777777" w:rsidR="004E113E" w:rsidRPr="00C07AF1" w:rsidRDefault="004E113E" w:rsidP="004E113E">
      <w:pPr>
        <w:pStyle w:val="Body"/>
        <w:ind w:firstLine="0"/>
      </w:pPr>
      <w:r w:rsidRPr="00C07AF1">
        <w:t xml:space="preserve">The previous results (see </w:t>
      </w:r>
      <w:r w:rsidR="008F502F">
        <w:t>Fig. 12</w:t>
      </w:r>
      <w:r w:rsidRPr="00C07AF1">
        <w:t xml:space="preserve">) show that the two approaches appear to be globally coherent for low excitation levels (i.e. for low failure criteria). However, for the signals calculated at the control point 3 in the NS direction for example, </w:t>
      </w:r>
      <w:r w:rsidR="008F502F">
        <w:t>Fig. 13</w:t>
      </w:r>
      <w:r w:rsidRPr="00C07AF1">
        <w:t xml:space="preserve"> shows significant differences in the median spectra, expressed in pseudo acceleration for a damping ratio of 5%, as well as in their quantiles at 15% and 85%.</w:t>
      </w:r>
    </w:p>
    <w:p w14:paraId="5FB00467" w14:textId="77777777" w:rsidR="004E113E" w:rsidRPr="00C07AF1" w:rsidRDefault="004E113E" w:rsidP="004E113E">
      <w:pPr>
        <w:pStyle w:val="Body"/>
        <w:ind w:firstLine="0"/>
      </w:pPr>
    </w:p>
    <w:tbl>
      <w:tblPr>
        <w:tblW w:w="0" w:type="auto"/>
        <w:tblInd w:w="108" w:type="dxa"/>
        <w:tblLook w:val="04A0" w:firstRow="1" w:lastRow="0" w:firstColumn="1" w:lastColumn="0" w:noHBand="0" w:noVBand="1"/>
      </w:tblPr>
      <w:tblGrid>
        <w:gridCol w:w="8954"/>
      </w:tblGrid>
      <w:tr w:rsidR="004E113E" w:rsidRPr="00C07AF1" w14:paraId="3C7643CE" w14:textId="77777777" w:rsidTr="004E113E">
        <w:tc>
          <w:tcPr>
            <w:tcW w:w="8954" w:type="dxa"/>
            <w:shd w:val="clear" w:color="auto" w:fill="auto"/>
            <w:vAlign w:val="center"/>
          </w:tcPr>
          <w:p w14:paraId="7EA5DF59" w14:textId="10A23911" w:rsidR="004E113E" w:rsidRPr="00C07AF1" w:rsidRDefault="0022364A" w:rsidP="004E113E">
            <w:pPr>
              <w:pStyle w:val="Body"/>
              <w:jc w:val="center"/>
            </w:pPr>
            <w:r>
              <w:rPr>
                <w:noProof/>
                <w:lang w:val="fr-FR" w:eastAsia="fr-FR"/>
              </w:rPr>
              <w:drawing>
                <wp:inline distT="0" distB="0" distL="0" distR="0" wp14:anchorId="78DC5C05" wp14:editId="45C9556D">
                  <wp:extent cx="2882978" cy="2160000"/>
                  <wp:effectExtent l="0" t="0" r="0" b="0"/>
                  <wp:docPr id="65" name="Image 65" descr="X:\MATLABWORK\ANR_SINAPS\ETUDE_ARTICLE_WCEE2017\FIG_BESTPSHANI_2018\SRO_Radi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X:\MATLABWORK\ANR_SINAPS\ETUDE_ARTICLE_WCEE2017\FIG_BESTPSHANI_2018\SRO_Radier.em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4E113E" w:rsidRPr="00EF612D" w14:paraId="3D50EA05" w14:textId="77777777" w:rsidTr="004E113E">
        <w:tc>
          <w:tcPr>
            <w:tcW w:w="8954" w:type="dxa"/>
            <w:shd w:val="clear" w:color="auto" w:fill="auto"/>
            <w:vAlign w:val="center"/>
          </w:tcPr>
          <w:p w14:paraId="20141406" w14:textId="77777777" w:rsidR="004E113E" w:rsidRPr="00EF612D" w:rsidRDefault="008F502F" w:rsidP="004E113E">
            <w:pPr>
              <w:pStyle w:val="Body"/>
              <w:jc w:val="center"/>
              <w:rPr>
                <w:i/>
                <w:sz w:val="22"/>
                <w:szCs w:val="22"/>
              </w:rPr>
            </w:pPr>
            <w:r>
              <w:rPr>
                <w:i/>
                <w:sz w:val="22"/>
                <w:szCs w:val="22"/>
              </w:rPr>
              <w:t>Fig. 13</w:t>
            </w:r>
            <w:r w:rsidR="004E113E" w:rsidRPr="00EF612D">
              <w:rPr>
                <w:i/>
                <w:sz w:val="22"/>
                <w:szCs w:val="22"/>
              </w:rPr>
              <w:t>. Comparison of the medians and the quantiles at 15% and 85% of pseudo acceleration response spectra of signals calculated at the control point 3 in the NS direction with the two approaches</w:t>
            </w:r>
          </w:p>
        </w:tc>
      </w:tr>
    </w:tbl>
    <w:p w14:paraId="642E925D" w14:textId="77777777" w:rsidR="004E113E" w:rsidRPr="00C07AF1" w:rsidRDefault="004E113E" w:rsidP="004E113E">
      <w:pPr>
        <w:pStyle w:val="Body"/>
        <w:jc w:val="center"/>
      </w:pPr>
    </w:p>
    <w:p w14:paraId="69B1DDBD" w14:textId="4DF52681" w:rsidR="004E113E" w:rsidRPr="00C07AF1" w:rsidRDefault="004E113E" w:rsidP="004E113E">
      <w:pPr>
        <w:pStyle w:val="Body"/>
        <w:ind w:firstLine="0"/>
      </w:pPr>
      <w:r w:rsidRPr="00C07AF1">
        <w:t>To understand the discrepancies between these results (</w:t>
      </w:r>
      <w:r w:rsidR="008F502F">
        <w:t>Fig. 12</w:t>
      </w:r>
      <w:r w:rsidRPr="00C07AF1">
        <w:t xml:space="preserve"> and </w:t>
      </w:r>
      <w:r w:rsidR="008F502F">
        <w:t>Fig. 13</w:t>
      </w:r>
      <w:r w:rsidRPr="00C07AF1">
        <w:t xml:space="preserve">), it is necessary to have in mind that: (i) the variabilities of the coefficients </w:t>
      </w:r>
      <m:oMath>
        <m:r>
          <w:rPr>
            <w:rFonts w:ascii="Cambria Math" w:eastAsia="Calibri" w:hAnsi="Cambria Math"/>
          </w:rPr>
          <m:t>G</m:t>
        </m:r>
      </m:oMath>
      <w:r w:rsidRPr="00C07AF1">
        <w:t xml:space="preserve"> which are used to determine the bottom soil springs are very small since t</w:t>
      </w:r>
      <w:r w:rsidR="00CE541E">
        <w:t>heir Coefficient of Variation (CoV</w:t>
      </w:r>
      <w:r w:rsidRPr="00C07AF1">
        <w:t xml:space="preserve">) are less than 3%, as shown in </w:t>
      </w:r>
      <w:r w:rsidR="009D17C6">
        <w:t>Fig. 14</w:t>
      </w:r>
      <w:r w:rsidRPr="00C07AF1">
        <w:t xml:space="preserve">(a). Indeed, in this problem, important variabilities are concentrated in the upper soil layers which have very non-linear </w:t>
      </w:r>
      <w:r w:rsidR="002C366C" w:rsidRPr="00C07AF1">
        <w:t>behaviour</w:t>
      </w:r>
      <w:r w:rsidRPr="00C07AF1">
        <w:t xml:space="preserve">; (ii) in the SSI model considered in this study, the linear dependence between </w:t>
      </w:r>
      <m:oMath>
        <m:r>
          <w:rPr>
            <w:rFonts w:ascii="Cambria Math" w:eastAsia="Calibri" w:hAnsi="Cambria Math"/>
          </w:rPr>
          <m:t>G</m:t>
        </m:r>
      </m:oMath>
      <w:r w:rsidRPr="00C07AF1">
        <w:t xml:space="preserve"> and the bottom soil springs implies that the </w:t>
      </w:r>
      <w:r w:rsidR="00611EAA">
        <w:t>CoV</w:t>
      </w:r>
      <w:r w:rsidRPr="00C07AF1">
        <w:t xml:space="preserve"> of these springs are very small, as shown in </w:t>
      </w:r>
      <w:r w:rsidR="009D17C6">
        <w:t>Fig. 14</w:t>
      </w:r>
      <w:r w:rsidRPr="00C07AF1">
        <w:t xml:space="preserve">(b); (iii) in the model of the coupled soil-structure system, the bottom soil springs’ contribution to the overall rigidity is dominant. </w:t>
      </w:r>
      <w:r w:rsidR="009D17C6">
        <w:t>Fig. 14</w:t>
      </w:r>
      <w:r w:rsidRPr="00C07AF1">
        <w:t xml:space="preserve">(c) illustrates this point by showing the contribution of the mean generalized stiffnesses of the building </w:t>
      </w:r>
      <m:oMath>
        <m:r>
          <w:rPr>
            <w:rFonts w:ascii="Cambria Math" w:eastAsia="Calibri" w:hAnsi="Cambria Math"/>
          </w:rPr>
          <m:t>E[</m:t>
        </m:r>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gB</m:t>
            </m:r>
          </m:sub>
          <m:sup>
            <m:r>
              <w:rPr>
                <w:rFonts w:ascii="Cambria Math" w:eastAsia="Calibri" w:hAnsi="Cambria Math"/>
              </w:rPr>
              <m:t>1</m:t>
            </m:r>
          </m:sup>
        </m:sSubSup>
        <m:r>
          <w:rPr>
            <w:rFonts w:ascii="Cambria Math" w:eastAsia="Calibri" w:hAnsi="Cambria Math"/>
          </w:rPr>
          <m:t>]</m:t>
        </m:r>
      </m:oMath>
      <w:r w:rsidRPr="00C07AF1">
        <w:t xml:space="preserve"> and the springs </w:t>
      </w:r>
      <m:oMath>
        <m:sSubSup>
          <m:sSubSupPr>
            <m:ctrlPr>
              <w:rPr>
                <w:rFonts w:ascii="Cambria Math" w:eastAsia="SimSun" w:hAnsi="Cambria Math"/>
                <w:i/>
              </w:rPr>
            </m:ctrlPr>
          </m:sSubSupPr>
          <m:e>
            <m:r>
              <w:rPr>
                <w:rFonts w:ascii="Cambria Math" w:eastAsia="SimSun" w:hAnsi="Cambria Math"/>
              </w:rPr>
              <m:t>E[K</m:t>
            </m:r>
          </m:e>
          <m:sub>
            <m:r>
              <w:rPr>
                <w:rFonts w:ascii="Cambria Math" w:eastAsia="SimSun" w:hAnsi="Cambria Math"/>
              </w:rPr>
              <m:t>gKi</m:t>
            </m:r>
          </m:sub>
          <m:sup>
            <m:r>
              <w:rPr>
                <w:rFonts w:ascii="Cambria Math" w:eastAsia="SimSun" w:hAnsi="Cambria Math"/>
              </w:rPr>
              <m:t>1</m:t>
            </m:r>
          </m:sup>
        </m:sSubSup>
        <m:r>
          <w:rPr>
            <w:rFonts w:ascii="Cambria Math" w:eastAsia="SimSun" w:hAnsi="Cambria Math"/>
          </w:rPr>
          <m:t>]</m:t>
        </m:r>
      </m:oMath>
      <w:r w:rsidRPr="00C07AF1">
        <w:t xml:space="preserve">, </w:t>
      </w:r>
      <m:oMath>
        <m:r>
          <w:rPr>
            <w:rFonts w:ascii="Cambria Math" w:eastAsia="SimSun" w:hAnsi="Cambria Math"/>
          </w:rPr>
          <m:t>i∈{1,…,10}</m:t>
        </m:r>
      </m:oMath>
      <w:r w:rsidRPr="00C07AF1">
        <w:t xml:space="preserve">, to the mean generalized stiffness </w:t>
      </w:r>
      <m:oMath>
        <m:r>
          <w:rPr>
            <w:rFonts w:ascii="Cambria Math" w:eastAsia="Calibri" w:hAnsi="Cambria Math"/>
          </w:rPr>
          <m:t>E</m:t>
        </m:r>
        <m:d>
          <m:dPr>
            <m:begChr m:val="["/>
            <m:endChr m:val="]"/>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m:t>
                </m:r>
              </m:sub>
              <m:sup>
                <m:r>
                  <w:rPr>
                    <w:rFonts w:ascii="Cambria Math" w:eastAsia="Calibri" w:hAnsi="Cambria Math"/>
                  </w:rPr>
                  <m:t>1</m:t>
                </m:r>
              </m:sup>
            </m:sSubSup>
          </m:e>
        </m:d>
        <m:r>
          <w:rPr>
            <w:rFonts w:ascii="Cambria Math" w:eastAsia="Calibri" w:hAnsi="Cambria Math"/>
          </w:rPr>
          <m:t>=</m:t>
        </m:r>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gB</m:t>
                </m:r>
              </m:sub>
              <m:sup>
                <m:r>
                  <w:rPr>
                    <w:rFonts w:ascii="Cambria Math" w:eastAsia="Calibri" w:hAnsi="Cambria Math"/>
                  </w:rPr>
                  <m:t>1</m:t>
                </m:r>
              </m:sup>
            </m:sSubSup>
          </m:e>
        </m:d>
        <m:r>
          <w:rPr>
            <w:rFonts w:ascii="Cambria Math" w:eastAsia="SimSun" w:hAnsi="Cambria Math"/>
          </w:rPr>
          <m:t>+</m:t>
        </m:r>
        <m:nary>
          <m:naryPr>
            <m:chr m:val="∑"/>
            <m:limLoc m:val="undOvr"/>
            <m:ctrlPr>
              <w:rPr>
                <w:rFonts w:ascii="Cambria Math" w:eastAsia="SimSun" w:hAnsi="Cambria Math"/>
                <w:i/>
              </w:rPr>
            </m:ctrlPr>
          </m:naryPr>
          <m:sub>
            <m:r>
              <w:rPr>
                <w:rFonts w:ascii="Cambria Math" w:eastAsia="SimSun" w:hAnsi="Cambria Math"/>
              </w:rPr>
              <m:t>i=1</m:t>
            </m:r>
          </m:sub>
          <m:sup>
            <m:r>
              <w:rPr>
                <w:rFonts w:ascii="Cambria Math" w:eastAsia="SimSun" w:hAnsi="Cambria Math"/>
              </w:rPr>
              <m:t>10</m:t>
            </m:r>
          </m:sup>
          <m:e>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gKi</m:t>
                    </m:r>
                  </m:sub>
                  <m:sup>
                    <m:r>
                      <w:rPr>
                        <w:rFonts w:ascii="Cambria Math" w:eastAsia="SimSun" w:hAnsi="Cambria Math"/>
                      </w:rPr>
                      <m:t>1</m:t>
                    </m:r>
                  </m:sup>
                </m:sSubSup>
              </m:e>
            </m:d>
          </m:e>
        </m:nary>
        <m:r>
          <w:rPr>
            <w:rFonts w:ascii="Cambria Math" w:eastAsia="Calibri" w:hAnsi="Cambria Math"/>
          </w:rPr>
          <m:t xml:space="preserve">  </m:t>
        </m:r>
      </m:oMath>
      <w:r w:rsidRPr="00C07AF1">
        <w:t>of the first eigenmode of the coupled system.</w:t>
      </w:r>
    </w:p>
    <w:p w14:paraId="67948156" w14:textId="77777777" w:rsidR="004E113E" w:rsidRPr="00C07AF1" w:rsidRDefault="004E113E" w:rsidP="004E113E">
      <w:pPr>
        <w:pStyle w:val="Body"/>
      </w:pPr>
    </w:p>
    <w:tbl>
      <w:tblPr>
        <w:tblW w:w="0" w:type="auto"/>
        <w:tblInd w:w="108" w:type="dxa"/>
        <w:tblLook w:val="04A0" w:firstRow="1" w:lastRow="0" w:firstColumn="1" w:lastColumn="0" w:noHBand="0" w:noVBand="1"/>
      </w:tblPr>
      <w:tblGrid>
        <w:gridCol w:w="4480"/>
        <w:gridCol w:w="4481"/>
      </w:tblGrid>
      <w:tr w:rsidR="004E113E" w:rsidRPr="00C07AF1" w14:paraId="39790723" w14:textId="77777777" w:rsidTr="004E113E">
        <w:tc>
          <w:tcPr>
            <w:tcW w:w="4649" w:type="dxa"/>
            <w:shd w:val="clear" w:color="auto" w:fill="auto"/>
            <w:vAlign w:val="center"/>
          </w:tcPr>
          <w:p w14:paraId="4732ACBD" w14:textId="5A56AB65" w:rsidR="004E113E" w:rsidRPr="00C07AF1" w:rsidRDefault="00895188" w:rsidP="004E113E">
            <w:pPr>
              <w:pStyle w:val="Body"/>
              <w:ind w:firstLine="0"/>
            </w:pPr>
            <w:r>
              <w:rPr>
                <w:noProof/>
                <w:lang w:val="fr-FR" w:eastAsia="fr-FR"/>
              </w:rPr>
              <w:lastRenderedPageBreak/>
              <w:drawing>
                <wp:inline distT="0" distB="0" distL="0" distR="0" wp14:anchorId="3A56F205" wp14:editId="52F878F4">
                  <wp:extent cx="2882978" cy="2160000"/>
                  <wp:effectExtent l="0" t="0" r="0" b="0"/>
                  <wp:docPr id="62" name="Image 62" descr="X:\MATLABWORK\ANR_SINAPS\ETUDE_ARTICLE_WCEE2017\FIG_BESTPSHANI_2018\CoV_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MATLABWORK\ANR_SINAPS\ETUDE_ARTICLE_WCEE2017\FIG_BESTPSHANI_2018\CoV_G.em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c>
          <w:tcPr>
            <w:tcW w:w="4757" w:type="dxa"/>
            <w:shd w:val="clear" w:color="auto" w:fill="auto"/>
            <w:vAlign w:val="center"/>
          </w:tcPr>
          <w:p w14:paraId="7E19A918" w14:textId="5E1CC670" w:rsidR="004E113E" w:rsidRPr="00C07AF1" w:rsidRDefault="00C63226" w:rsidP="004E113E">
            <w:pPr>
              <w:pStyle w:val="Body"/>
              <w:ind w:firstLine="0"/>
            </w:pPr>
            <w:r>
              <w:rPr>
                <w:noProof/>
                <w:lang w:val="fr-FR" w:eastAsia="fr-FR"/>
              </w:rPr>
              <w:drawing>
                <wp:inline distT="0" distB="0" distL="0" distR="0" wp14:anchorId="6E7887B1" wp14:editId="7B2DB671">
                  <wp:extent cx="2882978" cy="2160000"/>
                  <wp:effectExtent l="0" t="0" r="0" b="0"/>
                  <wp:docPr id="64" name="Image 64" descr="X:\MATLABWORK\ANR_SINAPS\ETUDE_ARTICLE_WCEE2017\FIG_BESTPSHANI_2018\CoV_Ressor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X:\MATLABWORK\ANR_SINAPS\ETUDE_ARTICLE_WCEE2017\FIG_BESTPSHANI_2018\CoV_Ressort.em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4E113E" w:rsidRPr="00EF612D" w14:paraId="47A5EE15" w14:textId="77777777" w:rsidTr="004E113E">
        <w:tc>
          <w:tcPr>
            <w:tcW w:w="4649" w:type="dxa"/>
            <w:shd w:val="clear" w:color="auto" w:fill="auto"/>
            <w:vAlign w:val="center"/>
          </w:tcPr>
          <w:p w14:paraId="7313A8A5" w14:textId="77777777" w:rsidR="004E113E" w:rsidRPr="00EF612D" w:rsidRDefault="004E113E" w:rsidP="004E113E">
            <w:pPr>
              <w:pStyle w:val="Body"/>
              <w:jc w:val="center"/>
              <w:rPr>
                <w:i/>
                <w:sz w:val="22"/>
                <w:szCs w:val="22"/>
              </w:rPr>
            </w:pPr>
            <w:r w:rsidRPr="00EF612D">
              <w:rPr>
                <w:i/>
                <w:sz w:val="22"/>
                <w:szCs w:val="22"/>
              </w:rPr>
              <w:t>(a)</w:t>
            </w:r>
          </w:p>
        </w:tc>
        <w:tc>
          <w:tcPr>
            <w:tcW w:w="4757" w:type="dxa"/>
            <w:shd w:val="clear" w:color="auto" w:fill="auto"/>
            <w:vAlign w:val="center"/>
          </w:tcPr>
          <w:p w14:paraId="5439C776" w14:textId="77777777" w:rsidR="004E113E" w:rsidRPr="00EF612D" w:rsidRDefault="004E113E" w:rsidP="004E113E">
            <w:pPr>
              <w:pStyle w:val="Body"/>
              <w:jc w:val="center"/>
              <w:rPr>
                <w:i/>
                <w:sz w:val="22"/>
                <w:szCs w:val="22"/>
              </w:rPr>
            </w:pPr>
            <w:r w:rsidRPr="00EF612D">
              <w:rPr>
                <w:i/>
                <w:sz w:val="22"/>
                <w:szCs w:val="22"/>
              </w:rPr>
              <w:t>(b)</w:t>
            </w:r>
          </w:p>
        </w:tc>
      </w:tr>
      <w:tr w:rsidR="004E113E" w:rsidRPr="00C07AF1" w14:paraId="4CED0D82" w14:textId="77777777" w:rsidTr="004E113E">
        <w:tc>
          <w:tcPr>
            <w:tcW w:w="4649" w:type="dxa"/>
            <w:shd w:val="clear" w:color="auto" w:fill="auto"/>
            <w:vAlign w:val="center"/>
          </w:tcPr>
          <w:p w14:paraId="43AB6AE7" w14:textId="01952D8D" w:rsidR="004E113E" w:rsidRPr="00C07AF1" w:rsidRDefault="00F66743" w:rsidP="004E113E">
            <w:pPr>
              <w:pStyle w:val="Body"/>
              <w:ind w:firstLine="0"/>
            </w:pPr>
            <w:r>
              <w:rPr>
                <w:noProof/>
                <w:lang w:val="fr-FR" w:eastAsia="fr-FR"/>
              </w:rPr>
              <w:drawing>
                <wp:inline distT="0" distB="0" distL="0" distR="0" wp14:anchorId="7969A26A" wp14:editId="0B8CFDF3">
                  <wp:extent cx="2881601" cy="2160000"/>
                  <wp:effectExtent l="0" t="0" r="0" b="0"/>
                  <wp:docPr id="43" name="Image 43" descr="X:\MATLABWORK\ANR_SINAPS\ETUDE_ARTICLE_WCEE2017\FIG_BESTPSHANI_2018\Cont_GenS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MATLABWORK\ANR_SINAPS\ETUDE_ARTICLE_WCEE2017\FIG_BESTPSHANI_2018\Cont_GenStif.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1601" cy="2160000"/>
                          </a:xfrm>
                          <a:prstGeom prst="rect">
                            <a:avLst/>
                          </a:prstGeom>
                          <a:noFill/>
                          <a:ln>
                            <a:noFill/>
                          </a:ln>
                        </pic:spPr>
                      </pic:pic>
                    </a:graphicData>
                  </a:graphic>
                </wp:inline>
              </w:drawing>
            </w:r>
          </w:p>
        </w:tc>
        <w:tc>
          <w:tcPr>
            <w:tcW w:w="4757" w:type="dxa"/>
            <w:shd w:val="clear" w:color="auto" w:fill="auto"/>
            <w:vAlign w:val="center"/>
          </w:tcPr>
          <w:p w14:paraId="22310081" w14:textId="16D9EB04" w:rsidR="004E113E" w:rsidRPr="00C07AF1" w:rsidRDefault="00F66743" w:rsidP="004E113E">
            <w:pPr>
              <w:pStyle w:val="Body"/>
              <w:ind w:firstLine="0"/>
            </w:pPr>
            <w:r>
              <w:rPr>
                <w:noProof/>
                <w:lang w:val="fr-FR" w:eastAsia="fr-FR"/>
              </w:rPr>
              <w:drawing>
                <wp:inline distT="0" distB="0" distL="0" distR="0" wp14:anchorId="2F2261D3" wp14:editId="70FF977F">
                  <wp:extent cx="2882978" cy="2160000"/>
                  <wp:effectExtent l="0" t="0" r="0" b="0"/>
                  <wp:docPr id="54" name="Image 54" descr="X:\MATLABWORK\ANR_SINAPS\ETUDE_ARTICLE_WCEE2017\FIG_BESTPSHANI_2018\CoV_GenSti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MATLABWORK\ANR_SINAPS\ETUDE_ARTICLE_WCEE2017\FIG_BESTPSHANI_2018\CoV_GenStif.em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4E113E" w:rsidRPr="00EF612D" w14:paraId="5C98FB4A" w14:textId="77777777" w:rsidTr="004E113E">
        <w:tc>
          <w:tcPr>
            <w:tcW w:w="4649" w:type="dxa"/>
            <w:shd w:val="clear" w:color="auto" w:fill="auto"/>
            <w:vAlign w:val="center"/>
          </w:tcPr>
          <w:p w14:paraId="3D2C1A5B" w14:textId="77777777" w:rsidR="004E113E" w:rsidRPr="00EF612D" w:rsidRDefault="004E113E" w:rsidP="004E113E">
            <w:pPr>
              <w:pStyle w:val="Body"/>
              <w:jc w:val="center"/>
              <w:rPr>
                <w:i/>
                <w:sz w:val="22"/>
                <w:szCs w:val="22"/>
              </w:rPr>
            </w:pPr>
            <w:r w:rsidRPr="00EF612D">
              <w:rPr>
                <w:i/>
                <w:sz w:val="22"/>
                <w:szCs w:val="22"/>
              </w:rPr>
              <w:t>(c)</w:t>
            </w:r>
          </w:p>
        </w:tc>
        <w:tc>
          <w:tcPr>
            <w:tcW w:w="4757" w:type="dxa"/>
            <w:shd w:val="clear" w:color="auto" w:fill="auto"/>
            <w:vAlign w:val="center"/>
          </w:tcPr>
          <w:p w14:paraId="5FFBDEA3" w14:textId="77777777" w:rsidR="004E113E" w:rsidRPr="00EF612D" w:rsidRDefault="004E113E" w:rsidP="004E113E">
            <w:pPr>
              <w:pStyle w:val="Body"/>
              <w:jc w:val="center"/>
              <w:rPr>
                <w:i/>
                <w:sz w:val="22"/>
                <w:szCs w:val="22"/>
              </w:rPr>
            </w:pPr>
            <w:r w:rsidRPr="00EF612D">
              <w:rPr>
                <w:i/>
                <w:sz w:val="22"/>
                <w:szCs w:val="22"/>
              </w:rPr>
              <w:t>(d)</w:t>
            </w:r>
          </w:p>
        </w:tc>
      </w:tr>
      <w:tr w:rsidR="004E113E" w:rsidRPr="00EF612D" w14:paraId="6C9E9A17" w14:textId="77777777" w:rsidTr="004E113E">
        <w:tc>
          <w:tcPr>
            <w:tcW w:w="9406" w:type="dxa"/>
            <w:gridSpan w:val="2"/>
            <w:shd w:val="clear" w:color="auto" w:fill="auto"/>
            <w:vAlign w:val="center"/>
          </w:tcPr>
          <w:p w14:paraId="73ED2B2F" w14:textId="221C8EC0" w:rsidR="004E113E" w:rsidRPr="00EF612D" w:rsidRDefault="009D17C6" w:rsidP="004E113E">
            <w:pPr>
              <w:pStyle w:val="Body"/>
              <w:jc w:val="center"/>
              <w:rPr>
                <w:i/>
                <w:sz w:val="22"/>
                <w:szCs w:val="22"/>
              </w:rPr>
            </w:pPr>
            <w:r>
              <w:rPr>
                <w:i/>
                <w:sz w:val="22"/>
                <w:szCs w:val="22"/>
              </w:rPr>
              <w:t>Fig. 14</w:t>
            </w:r>
            <w:r w:rsidR="004E113E" w:rsidRPr="00EF612D">
              <w:rPr>
                <w:i/>
                <w:sz w:val="22"/>
                <w:szCs w:val="22"/>
              </w:rPr>
              <w:t>. Comparison b</w:t>
            </w:r>
            <w:r w:rsidR="00C63226">
              <w:rPr>
                <w:i/>
                <w:sz w:val="22"/>
                <w:szCs w:val="22"/>
              </w:rPr>
              <w:t>etween the two approaches: (a) CoV</w:t>
            </w:r>
            <w:r w:rsidR="004E113E" w:rsidRPr="00EF612D">
              <w:rPr>
                <w:i/>
                <w:sz w:val="22"/>
                <w:szCs w:val="22"/>
              </w:rPr>
              <w:t xml:space="preserve"> of G vs depth, (b) </w:t>
            </w:r>
            <w:r w:rsidR="00C63226">
              <w:rPr>
                <w:i/>
                <w:sz w:val="22"/>
                <w:szCs w:val="22"/>
              </w:rPr>
              <w:t>CoV</w:t>
            </w:r>
            <w:r w:rsidR="004E113E" w:rsidRPr="00EF612D">
              <w:rPr>
                <w:i/>
                <w:sz w:val="22"/>
                <w:szCs w:val="22"/>
              </w:rPr>
              <w:t xml:space="preserve"> of springs’ values, (c) springs’ contributions to the generalized stiffness of the coupled system and (d) </w:t>
            </w:r>
            <w:r w:rsidR="00C63226">
              <w:rPr>
                <w:i/>
                <w:sz w:val="22"/>
                <w:szCs w:val="22"/>
              </w:rPr>
              <w:t>CoV</w:t>
            </w:r>
            <w:r w:rsidR="004E113E" w:rsidRPr="00EF612D">
              <w:rPr>
                <w:i/>
                <w:sz w:val="22"/>
                <w:szCs w:val="22"/>
              </w:rPr>
              <w:t xml:space="preserve"> of the springs’ generalized stiffnesses</w:t>
            </w:r>
          </w:p>
        </w:tc>
      </w:tr>
    </w:tbl>
    <w:p w14:paraId="1B8A537A" w14:textId="77777777" w:rsidR="004E113E" w:rsidRPr="00C07AF1" w:rsidRDefault="004E113E" w:rsidP="004E113E">
      <w:pPr>
        <w:pStyle w:val="Body"/>
      </w:pPr>
    </w:p>
    <w:p w14:paraId="24B1312F" w14:textId="64CD85BF" w:rsidR="004E113E" w:rsidRPr="00C07AF1" w:rsidRDefault="004E113E" w:rsidP="004E113E">
      <w:pPr>
        <w:pStyle w:val="Body"/>
      </w:pPr>
      <w:r w:rsidRPr="00C07AF1">
        <w:t>Consequently, the low variabilities of the bottom soil springs values implies low variabilities of the generalized stiffnesses and masses of the soil-structure coupled system. Moreover, since the effective mass of the first eigenmode of the coupled system represents about 75% of the total mass, the coupled system essentially behaves like a quasi-deterministic one degree of freedom (</w:t>
      </w:r>
      <w:r w:rsidR="00B97CCF">
        <w:t>DOF</w:t>
      </w:r>
      <w:r w:rsidRPr="00C07AF1">
        <w:t>) linear oscillator, with a frequency of 2.2 Hz and a damping ratio of 37%, both in the NS and EW directions.</w:t>
      </w:r>
      <w:r w:rsidR="00207BFD">
        <w:t xml:space="preserve"> </w:t>
      </w:r>
      <w:r w:rsidRPr="00C07AF1">
        <w:t xml:space="preserve">Indeed, the numerical calculations show that the generalized mass </w:t>
      </w:r>
      <m:oMath>
        <m:sSubSup>
          <m:sSubSupPr>
            <m:ctrlPr>
              <w:rPr>
                <w:rFonts w:ascii="Cambria Math" w:eastAsia="Calibri" w:hAnsi="Cambria Math"/>
                <w:i/>
              </w:rPr>
            </m:ctrlPr>
          </m:sSubSupPr>
          <m:e>
            <m:r>
              <w:rPr>
                <w:rFonts w:ascii="Cambria Math" w:eastAsia="Calibri" w:hAnsi="Cambria Math"/>
              </w:rPr>
              <m:t>M</m:t>
            </m:r>
          </m:e>
          <m:sub>
            <m:r>
              <w:rPr>
                <w:rFonts w:ascii="Cambria Math" w:eastAsia="Calibri" w:hAnsi="Cambria Math"/>
              </w:rPr>
              <m:t>g</m:t>
            </m:r>
          </m:sub>
          <m:sup>
            <m:r>
              <w:rPr>
                <w:rFonts w:ascii="Cambria Math" w:eastAsia="Calibri" w:hAnsi="Cambria Math"/>
              </w:rPr>
              <m:t>1</m:t>
            </m:r>
          </m:sup>
        </m:sSubSup>
      </m:oMath>
      <w:r w:rsidRPr="00C07AF1">
        <w:t xml:space="preserve"> of the first eigenmode of the coupled system (and by extension its effective mass) is quasi-deterministic since its </w:t>
      </w:r>
      <w:r w:rsidR="00CD2FF0">
        <w:t>CoV</w:t>
      </w:r>
      <w:r w:rsidRPr="00C07AF1">
        <w:t xml:space="preserve"> is of an order of magnitude of 0.5%, thus:</w:t>
      </w:r>
    </w:p>
    <w:p w14:paraId="3CB8A4F4" w14:textId="3F8E9D69" w:rsidR="004E113E" w:rsidRPr="00F01706" w:rsidRDefault="00D302EE" w:rsidP="004E113E">
      <w:pPr>
        <w:pStyle w:val="Body"/>
      </w:pPr>
      <m:oMathPara>
        <m:oMath>
          <m:r>
            <w:rPr>
              <w:rFonts w:ascii="Cambria Math" w:eastAsia="SimSun" w:hAnsi="Cambria Math"/>
              <w:sz w:val="22"/>
              <w:szCs w:val="22"/>
            </w:rPr>
            <m:t>CoV</m:t>
          </m:r>
          <m:d>
            <m:dPr>
              <m:ctrlPr>
                <w:rPr>
                  <w:rFonts w:ascii="Cambria Math" w:eastAsia="SimSun" w:hAnsi="Cambria Math"/>
                  <w:i/>
                  <w:sz w:val="22"/>
                  <w:szCs w:val="22"/>
                </w:rPr>
              </m:ctrlPr>
            </m:dPr>
            <m:e>
              <m:sSub>
                <m:sSubPr>
                  <m:ctrlPr>
                    <w:rPr>
                      <w:rFonts w:ascii="Cambria Math" w:eastAsia="SimSun" w:hAnsi="Cambria Math"/>
                      <w:i/>
                      <w:sz w:val="22"/>
                      <w:szCs w:val="22"/>
                    </w:rPr>
                  </m:ctrlPr>
                </m:sSubPr>
                <m:e>
                  <m:r>
                    <w:rPr>
                      <w:rFonts w:ascii="Cambria Math" w:eastAsia="SimSun" w:hAnsi="Cambria Math" w:hint="eastAsia"/>
                      <w:sz w:val="22"/>
                      <w:szCs w:val="22"/>
                    </w:rPr>
                    <m:t>f</m:t>
                  </m:r>
                </m:e>
                <m:sub>
                  <m:r>
                    <w:rPr>
                      <w:rFonts w:ascii="Cambria Math" w:eastAsia="SimSun" w:hAnsi="Cambria Math" w:hint="eastAsia"/>
                      <w:sz w:val="22"/>
                      <w:szCs w:val="22"/>
                    </w:rPr>
                    <m:t>1</m:t>
                  </m:r>
                </m:sub>
              </m:sSub>
            </m:e>
          </m:d>
          <m:r>
            <w:rPr>
              <w:rFonts w:ascii="Cambria Math" w:eastAsia="SimSun" w:hAnsi="Cambria Math" w:hint="eastAsia"/>
              <w:sz w:val="22"/>
              <w:szCs w:val="22"/>
            </w:rPr>
            <m:t>=</m:t>
          </m:r>
          <m:r>
            <w:rPr>
              <w:rFonts w:ascii="Cambria Math" w:eastAsia="SimSun" w:hAnsi="Cambria Math"/>
              <w:sz w:val="22"/>
              <w:szCs w:val="22"/>
            </w:rPr>
            <m:t>CoV</m:t>
          </m:r>
          <m:d>
            <m:dPr>
              <m:ctrlPr>
                <w:rPr>
                  <w:rFonts w:ascii="Cambria Math" w:eastAsia="SimSun" w:hAnsi="Cambria Math"/>
                  <w:i/>
                  <w:sz w:val="22"/>
                  <w:szCs w:val="22"/>
                </w:rPr>
              </m:ctrlPr>
            </m:dPr>
            <m:e>
              <m:sSub>
                <m:sSubPr>
                  <m:ctrlPr>
                    <w:rPr>
                      <w:rFonts w:ascii="Cambria Math" w:eastAsia="SimSun" w:hAnsi="Cambria Math"/>
                      <w:i/>
                      <w:sz w:val="22"/>
                      <w:szCs w:val="22"/>
                    </w:rPr>
                  </m:ctrlPr>
                </m:sSubPr>
                <m:e>
                  <m:r>
                    <w:rPr>
                      <w:rFonts w:ascii="Cambria Math" w:eastAsia="SimSun" w:hAnsi="Cambria Math" w:hint="eastAsia"/>
                      <w:sz w:val="22"/>
                      <w:szCs w:val="22"/>
                    </w:rPr>
                    <m:t>ω</m:t>
                  </m:r>
                </m:e>
                <m:sub>
                  <m:r>
                    <w:rPr>
                      <w:rFonts w:ascii="Cambria Math" w:eastAsia="SimSun" w:hAnsi="Cambria Math" w:hint="eastAsia"/>
                      <w:sz w:val="22"/>
                      <w:szCs w:val="22"/>
                    </w:rPr>
                    <m:t>1</m:t>
                  </m:r>
                </m:sub>
              </m:sSub>
            </m:e>
          </m:d>
          <m:r>
            <w:rPr>
              <w:rFonts w:ascii="Cambria Math" w:eastAsia="SimSun" w:hAnsi="Cambria Math" w:hint="eastAsia"/>
              <w:sz w:val="22"/>
              <w:szCs w:val="22"/>
            </w:rPr>
            <m:t>&lt;</m:t>
          </m:r>
          <m:r>
            <w:rPr>
              <w:rFonts w:ascii="Cambria Math" w:eastAsia="SimSun" w:hAnsi="Cambria Math"/>
              <w:sz w:val="22"/>
              <w:szCs w:val="22"/>
            </w:rPr>
            <m:t>CoV</m:t>
          </m:r>
          <m:d>
            <m:dPr>
              <m:ctrlPr>
                <w:rPr>
                  <w:rFonts w:ascii="Cambria Math" w:eastAsia="SimSun" w:hAnsi="Cambria Math"/>
                  <w:i/>
                  <w:sz w:val="22"/>
                  <w:szCs w:val="22"/>
                </w:rPr>
              </m:ctrlPr>
            </m:dPr>
            <m:e>
              <m:sSubSup>
                <m:sSubSupPr>
                  <m:ctrlPr>
                    <w:rPr>
                      <w:rFonts w:ascii="Cambria Math" w:eastAsia="SimSun" w:hAnsi="Cambria Math"/>
                      <w:i/>
                      <w:sz w:val="22"/>
                      <w:szCs w:val="22"/>
                    </w:rPr>
                  </m:ctrlPr>
                </m:sSubSupPr>
                <m:e>
                  <m:r>
                    <w:rPr>
                      <w:rFonts w:ascii="Cambria Math" w:eastAsia="SimSun" w:hAnsi="Cambria Math" w:hint="eastAsia"/>
                      <w:sz w:val="22"/>
                      <w:szCs w:val="22"/>
                    </w:rPr>
                    <m:t>ω</m:t>
                  </m:r>
                </m:e>
                <m:sub>
                  <m:r>
                    <w:rPr>
                      <w:rFonts w:ascii="Cambria Math" w:eastAsia="SimSun" w:hAnsi="Cambria Math" w:hint="eastAsia"/>
                      <w:sz w:val="22"/>
                      <w:szCs w:val="22"/>
                    </w:rPr>
                    <m:t>1</m:t>
                  </m:r>
                </m:sub>
                <m:sup>
                  <m:r>
                    <w:rPr>
                      <w:rFonts w:ascii="Cambria Math" w:eastAsia="SimSun" w:hAnsi="Cambria Math" w:hint="eastAsia"/>
                      <w:sz w:val="22"/>
                      <w:szCs w:val="22"/>
                    </w:rPr>
                    <m:t>2</m:t>
                  </m:r>
                </m:sup>
              </m:sSubSup>
            </m:e>
          </m:d>
          <m:r>
            <w:rPr>
              <w:rFonts w:ascii="Cambria Math" w:eastAsia="SimSun" w:hAnsi="Cambria Math"/>
              <w:sz w:val="22"/>
              <w:szCs w:val="22"/>
            </w:rPr>
            <m:t>≃CoV</m:t>
          </m:r>
          <m:d>
            <m:dPr>
              <m:ctrlPr>
                <w:rPr>
                  <w:rFonts w:ascii="Cambria Math" w:eastAsia="SimSun" w:hAnsi="Cambria Math"/>
                  <w:i/>
                  <w:sz w:val="22"/>
                  <w:szCs w:val="22"/>
                </w:rPr>
              </m:ctrlPr>
            </m:dPr>
            <m:e>
              <m:sSubSup>
                <m:sSubSupPr>
                  <m:ctrlPr>
                    <w:rPr>
                      <w:rFonts w:ascii="Cambria Math" w:eastAsia="SimSun" w:hAnsi="Cambria Math"/>
                      <w:i/>
                      <w:sz w:val="22"/>
                      <w:szCs w:val="22"/>
                    </w:rPr>
                  </m:ctrlPr>
                </m:sSubSupPr>
                <m:e>
                  <m:r>
                    <w:rPr>
                      <w:rFonts w:ascii="Cambria Math" w:eastAsia="SimSun" w:hAnsi="Cambria Math" w:hint="eastAsia"/>
                      <w:sz w:val="22"/>
                      <w:szCs w:val="22"/>
                    </w:rPr>
                    <m:t>K</m:t>
                  </m:r>
                </m:e>
                <m:sub>
                  <m:r>
                    <w:rPr>
                      <w:rFonts w:ascii="Cambria Math" w:eastAsia="SimSun" w:hAnsi="Cambria Math" w:hint="eastAsia"/>
                      <w:sz w:val="22"/>
                      <w:szCs w:val="22"/>
                    </w:rPr>
                    <m:t>g</m:t>
                  </m:r>
                </m:sub>
                <m:sup>
                  <m:r>
                    <w:rPr>
                      <w:rFonts w:ascii="Cambria Math" w:eastAsia="SimSun" w:hAnsi="Cambria Math" w:hint="eastAsia"/>
                      <w:sz w:val="22"/>
                      <w:szCs w:val="22"/>
                    </w:rPr>
                    <m:t>1</m:t>
                  </m:r>
                </m:sup>
              </m:sSubSup>
            </m:e>
          </m:d>
          <m:r>
            <w:rPr>
              <w:rFonts w:ascii="Cambria Math" w:eastAsia="SimSun" w:hAnsi="Cambria Math" w:hint="eastAsia"/>
              <w:sz w:val="22"/>
              <w:szCs w:val="22"/>
            </w:rPr>
            <m:t>=</m:t>
          </m:r>
          <m:r>
            <w:rPr>
              <w:rFonts w:ascii="Cambria Math" w:eastAsia="SimSun" w:hAnsi="Cambria Math"/>
              <w:sz w:val="22"/>
              <w:szCs w:val="22"/>
            </w:rPr>
            <m:t>CoV</m:t>
          </m:r>
          <m:r>
            <w:rPr>
              <w:rFonts w:ascii="Cambria Math" w:eastAsia="SimSun" w:hAnsi="Cambria Math" w:hint="eastAsia"/>
              <w:sz w:val="22"/>
              <w:szCs w:val="22"/>
            </w:rPr>
            <m:t>(</m:t>
          </m:r>
          <m:sSubSup>
            <m:sSubSupPr>
              <m:ctrlPr>
                <w:rPr>
                  <w:rFonts w:ascii="Cambria Math" w:eastAsia="Calibri" w:hAnsi="Cambria Math"/>
                  <w:i/>
                  <w:sz w:val="22"/>
                  <w:szCs w:val="22"/>
                </w:rPr>
              </m:ctrlPr>
            </m:sSubSupPr>
            <m:e>
              <m:r>
                <w:rPr>
                  <w:rFonts w:ascii="Cambria Math" w:eastAsia="Calibri" w:hAnsi="Cambria Math"/>
                  <w:sz w:val="22"/>
                  <w:szCs w:val="22"/>
                </w:rPr>
                <m:t>K</m:t>
              </m:r>
            </m:e>
            <m:sub>
              <m:r>
                <w:rPr>
                  <w:rFonts w:ascii="Cambria Math" w:eastAsia="Calibri" w:hAnsi="Cambria Math"/>
                  <w:sz w:val="22"/>
                  <w:szCs w:val="22"/>
                </w:rPr>
                <m:t>gB</m:t>
              </m:r>
            </m:sub>
            <m:sup>
              <m:r>
                <w:rPr>
                  <w:rFonts w:ascii="Cambria Math" w:eastAsia="Calibri" w:hAnsi="Cambria Math"/>
                  <w:sz w:val="22"/>
                  <w:szCs w:val="22"/>
                </w:rPr>
                <m:t>1</m:t>
              </m:r>
            </m:sup>
          </m:sSubSup>
          <m:r>
            <w:rPr>
              <w:rFonts w:ascii="Cambria Math" w:eastAsia="SimSun" w:hAnsi="Cambria Math" w:hint="eastAsia"/>
              <w:sz w:val="22"/>
              <w:szCs w:val="22"/>
            </w:rPr>
            <m:t>+</m:t>
          </m:r>
          <m:nary>
            <m:naryPr>
              <m:chr m:val="∑"/>
              <m:limLoc m:val="undOvr"/>
              <m:ctrlPr>
                <w:rPr>
                  <w:rFonts w:ascii="Cambria Math" w:eastAsia="SimSun" w:hAnsi="Cambria Math"/>
                  <w:i/>
                  <w:sz w:val="22"/>
                  <w:szCs w:val="22"/>
                </w:rPr>
              </m:ctrlPr>
            </m:naryPr>
            <m:sub>
              <m:r>
                <w:rPr>
                  <w:rFonts w:ascii="Cambria Math" w:eastAsia="SimSun" w:hAnsi="Cambria Math" w:hint="eastAsia"/>
                  <w:sz w:val="22"/>
                  <w:szCs w:val="22"/>
                </w:rPr>
                <m:t>i=1</m:t>
              </m:r>
            </m:sub>
            <m:sup>
              <m:r>
                <w:rPr>
                  <w:rFonts w:ascii="Cambria Math" w:eastAsia="SimSun" w:hAnsi="Cambria Math" w:hint="eastAsia"/>
                  <w:sz w:val="22"/>
                  <w:szCs w:val="22"/>
                </w:rPr>
                <m:t>10</m:t>
              </m:r>
            </m:sup>
            <m:e>
              <m:sSubSup>
                <m:sSubSupPr>
                  <m:ctrlPr>
                    <w:rPr>
                      <w:rFonts w:ascii="Cambria Math" w:eastAsia="SimSun" w:hAnsi="Cambria Math"/>
                      <w:i/>
                      <w:sz w:val="22"/>
                      <w:szCs w:val="22"/>
                    </w:rPr>
                  </m:ctrlPr>
                </m:sSubSupPr>
                <m:e>
                  <m:r>
                    <w:rPr>
                      <w:rFonts w:ascii="Cambria Math" w:eastAsia="SimSun" w:hAnsi="Cambria Math" w:hint="eastAsia"/>
                      <w:sz w:val="22"/>
                      <w:szCs w:val="22"/>
                    </w:rPr>
                    <m:t>K</m:t>
                  </m:r>
                </m:e>
                <m:sub>
                  <m:r>
                    <w:rPr>
                      <w:rFonts w:ascii="Cambria Math" w:eastAsia="SimSun" w:hAnsi="Cambria Math" w:hint="eastAsia"/>
                      <w:sz w:val="22"/>
                      <w:szCs w:val="22"/>
                    </w:rPr>
                    <m:t>g</m:t>
                  </m:r>
                  <m:r>
                    <w:rPr>
                      <w:rFonts w:ascii="Cambria Math" w:eastAsia="SimSun" w:hAnsi="Cambria Math"/>
                      <w:sz w:val="22"/>
                      <w:szCs w:val="22"/>
                    </w:rPr>
                    <m:t>K</m:t>
                  </m:r>
                  <m:r>
                    <w:rPr>
                      <w:rFonts w:ascii="Cambria Math" w:eastAsia="SimSun" w:hAnsi="Cambria Math" w:hint="eastAsia"/>
                      <w:sz w:val="22"/>
                      <w:szCs w:val="22"/>
                    </w:rPr>
                    <m:t>i</m:t>
                  </m:r>
                </m:sub>
                <m:sup>
                  <m:r>
                    <w:rPr>
                      <w:rFonts w:ascii="Cambria Math" w:eastAsia="SimSun" w:hAnsi="Cambria Math" w:hint="eastAsia"/>
                      <w:sz w:val="22"/>
                      <w:szCs w:val="22"/>
                    </w:rPr>
                    <m:t>1</m:t>
                  </m:r>
                </m:sup>
              </m:sSubSup>
            </m:e>
          </m:nary>
          <m:r>
            <w:rPr>
              <w:rFonts w:ascii="Cambria Math" w:eastAsia="SimSun" w:hAnsi="Cambria Math" w:hint="eastAsia"/>
              <w:sz w:val="22"/>
              <w:szCs w:val="22"/>
            </w:rPr>
            <m:t>)</m:t>
          </m:r>
        </m:oMath>
      </m:oMathPara>
    </w:p>
    <w:p w14:paraId="129CE60E" w14:textId="471C89C9" w:rsidR="004E113E" w:rsidRPr="00C07AF1" w:rsidRDefault="004E113E" w:rsidP="004E113E">
      <w:pPr>
        <w:pStyle w:val="Body"/>
        <w:ind w:firstLine="0"/>
      </w:pPr>
      <w:r w:rsidRPr="00C07AF1">
        <w:t xml:space="preserve">where </w:t>
      </w:r>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1</m:t>
            </m:r>
          </m:sub>
        </m:sSub>
      </m:oMath>
      <w:r w:rsidRPr="00C07AF1">
        <w:t xml:space="preserve">, </w:t>
      </w:r>
      <m:oMath>
        <m:sSub>
          <m:sSubPr>
            <m:ctrlPr>
              <w:rPr>
                <w:rFonts w:ascii="Cambria Math" w:eastAsia="SimSun" w:hAnsi="Cambria Math"/>
                <w:i/>
              </w:rPr>
            </m:ctrlPr>
          </m:sSubPr>
          <m:e>
            <m:r>
              <w:rPr>
                <w:rFonts w:ascii="Cambria Math" w:eastAsia="SimSun" w:hAnsi="Cambria Math"/>
              </w:rPr>
              <m:t>ω</m:t>
            </m:r>
          </m:e>
          <m:sub>
            <m:r>
              <w:rPr>
                <w:rFonts w:ascii="Cambria Math" w:eastAsia="SimSun" w:hAnsi="Cambria Math"/>
              </w:rPr>
              <m:t>1</m:t>
            </m:r>
          </m:sub>
        </m:sSub>
      </m:oMath>
      <w:r w:rsidRPr="00C07AF1">
        <w:t xml:space="preserve"> and </w:t>
      </w:r>
      <m:oMath>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m:t>
            </m:r>
          </m:sub>
          <m:sup>
            <m:r>
              <w:rPr>
                <w:rFonts w:ascii="Cambria Math" w:eastAsia="Calibri" w:hAnsi="Cambria Math"/>
              </w:rPr>
              <m:t>1</m:t>
            </m:r>
          </m:sup>
        </m:sSubSup>
      </m:oMath>
      <w:r w:rsidRPr="00C07AF1">
        <w:t xml:space="preserve"> are respectively the frequency, the circular frequency and the generalized stiffness of the first eigenmode of the coupled system. Assuming that the generalized stiffnesses of the building and springs can be considered as independent random variables (which is not really true), and considering the group of the variables associated to the bottom soil springs (springs 5 and 6), whose the generalized stiffness </w:t>
      </w:r>
      <w:r w:rsidR="00F73665">
        <w:t>(see Fig. 14(d</w:t>
      </w:r>
      <w:r w:rsidR="00F73665" w:rsidRPr="00C07AF1">
        <w:t>)</w:t>
      </w:r>
      <w:r w:rsidR="00F73665">
        <w:t xml:space="preserve">) </w:t>
      </w:r>
      <w:r w:rsidRPr="00C07AF1">
        <w:t xml:space="preserve">is noted </w:t>
      </w:r>
      <m:oMath>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gK56</m:t>
            </m:r>
          </m:sub>
          <m:sup>
            <m:r>
              <w:rPr>
                <w:rFonts w:ascii="Cambria Math" w:eastAsia="SimSun" w:hAnsi="Cambria Math"/>
              </w:rPr>
              <m:t>1</m:t>
            </m:r>
          </m:sup>
        </m:sSubSup>
      </m:oMath>
      <w:r w:rsidR="003D0D93">
        <w:t>, it follows:</w:t>
      </w:r>
    </w:p>
    <w:p w14:paraId="28327084" w14:textId="5D399A69" w:rsidR="00935E21" w:rsidRPr="00F01706" w:rsidRDefault="00D302EE" w:rsidP="00935E21">
      <w:pPr>
        <w:pStyle w:val="Body"/>
      </w:pPr>
      <m:oMathPara>
        <m:oMath>
          <m:r>
            <w:rPr>
              <w:rFonts w:ascii="Cambria Math" w:eastAsia="SimSun" w:hAnsi="Cambria Math"/>
              <w:sz w:val="22"/>
              <w:szCs w:val="22"/>
            </w:rPr>
            <w:lastRenderedPageBreak/>
            <m:t>CoV</m:t>
          </m:r>
          <m:d>
            <m:dPr>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m:t>
                  </m:r>
                </m:sub>
                <m:sup>
                  <m:r>
                    <w:rPr>
                      <w:rFonts w:ascii="Cambria Math" w:eastAsia="SimSun" w:hAnsi="Cambria Math"/>
                    </w:rPr>
                    <m:t>1</m:t>
                  </m:r>
                </m:sup>
              </m:sSubSup>
            </m:e>
          </m:d>
          <m:r>
            <w:rPr>
              <w:rFonts w:ascii="Cambria Math" w:eastAsia="SimSun" w:hAnsi="Cambria Math"/>
            </w:rPr>
            <m:t>≃</m:t>
          </m:r>
          <m:f>
            <m:fPr>
              <m:ctrlPr>
                <w:rPr>
                  <w:rFonts w:ascii="Cambria Math" w:eastAsia="SimSun" w:hAnsi="Cambria Math"/>
                  <w:i/>
                </w:rPr>
              </m:ctrlPr>
            </m:fPr>
            <m:num>
              <m:rad>
                <m:radPr>
                  <m:degHide m:val="1"/>
                  <m:ctrlPr>
                    <w:rPr>
                      <w:rFonts w:ascii="Cambria Math" w:eastAsia="Calibri" w:hAnsi="Cambria Math"/>
                      <w:i/>
                    </w:rPr>
                  </m:ctrlPr>
                </m:radPr>
                <m:deg/>
                <m:e>
                  <m:r>
                    <w:rPr>
                      <w:rFonts w:ascii="Cambria Math" w:eastAsia="Calibri" w:hAnsi="Cambria Math"/>
                    </w:rPr>
                    <m:t>V</m:t>
                  </m:r>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gB</m:t>
                          </m:r>
                        </m:sub>
                        <m:sup>
                          <m:r>
                            <w:rPr>
                              <w:rFonts w:ascii="Cambria Math" w:eastAsia="Calibri" w:hAnsi="Cambria Math"/>
                            </w:rPr>
                            <m:t>1</m:t>
                          </m:r>
                        </m:sup>
                      </m:sSubSup>
                    </m:e>
                  </m:d>
                  <m:r>
                    <w:rPr>
                      <w:rFonts w:ascii="Cambria Math" w:eastAsia="Calibri" w:hAnsi="Cambria Math"/>
                    </w:rPr>
                    <m:t>+</m:t>
                  </m:r>
                  <m:nary>
                    <m:naryPr>
                      <m:chr m:val="∑"/>
                      <m:limLoc m:val="undOvr"/>
                      <m:ctrlPr>
                        <w:rPr>
                          <w:rFonts w:ascii="Cambria Math" w:eastAsia="SimSun" w:hAnsi="Cambria Math"/>
                          <w:i/>
                        </w:rPr>
                      </m:ctrlPr>
                    </m:naryPr>
                    <m:sub>
                      <m:r>
                        <w:rPr>
                          <w:rFonts w:ascii="Cambria Math" w:eastAsia="SimSun" w:hAnsi="Cambria Math"/>
                        </w:rPr>
                        <m:t>i=1</m:t>
                      </m:r>
                    </m:sub>
                    <m:sup>
                      <m:r>
                        <w:rPr>
                          <w:rFonts w:ascii="Cambria Math" w:eastAsia="SimSun" w:hAnsi="Cambria Math"/>
                        </w:rPr>
                        <m:t>10</m:t>
                      </m:r>
                    </m:sup>
                    <m:e>
                      <m:r>
                        <w:rPr>
                          <w:rFonts w:ascii="Cambria Math" w:eastAsia="SimSun" w:hAnsi="Cambria Math"/>
                        </w:rPr>
                        <m:t>V</m:t>
                      </m:r>
                      <m:d>
                        <m:dPr>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gKi</m:t>
                              </m:r>
                            </m:sub>
                            <m:sup>
                              <m:r>
                                <w:rPr>
                                  <w:rFonts w:ascii="Cambria Math" w:eastAsia="SimSun" w:hAnsi="Cambria Math"/>
                                </w:rPr>
                                <m:t>1</m:t>
                              </m:r>
                            </m:sup>
                          </m:sSubSup>
                        </m:e>
                      </m:d>
                    </m:e>
                  </m:nary>
                </m:e>
              </m:rad>
            </m:num>
            <m:den>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gB</m:t>
                      </m:r>
                    </m:sub>
                    <m:sup>
                      <m:r>
                        <w:rPr>
                          <w:rFonts w:ascii="Cambria Math" w:eastAsia="Calibri" w:hAnsi="Cambria Math"/>
                        </w:rPr>
                        <m:t>1</m:t>
                      </m:r>
                    </m:sup>
                  </m:sSubSup>
                </m:e>
              </m:d>
              <m:r>
                <w:rPr>
                  <w:rFonts w:ascii="Cambria Math" w:eastAsia="SimSun" w:hAnsi="Cambria Math"/>
                </w:rPr>
                <m:t>+</m:t>
              </m:r>
              <m:nary>
                <m:naryPr>
                  <m:chr m:val="∑"/>
                  <m:limLoc m:val="undOvr"/>
                  <m:ctrlPr>
                    <w:rPr>
                      <w:rFonts w:ascii="Cambria Math" w:eastAsia="SimSun" w:hAnsi="Cambria Math"/>
                      <w:i/>
                    </w:rPr>
                  </m:ctrlPr>
                </m:naryPr>
                <m:sub>
                  <m:r>
                    <w:rPr>
                      <w:rFonts w:ascii="Cambria Math" w:eastAsia="SimSun" w:hAnsi="Cambria Math"/>
                    </w:rPr>
                    <m:t>i=1</m:t>
                  </m:r>
                </m:sub>
                <m:sup>
                  <m:r>
                    <w:rPr>
                      <w:rFonts w:ascii="Cambria Math" w:eastAsia="SimSun" w:hAnsi="Cambria Math"/>
                    </w:rPr>
                    <m:t>10</m:t>
                  </m:r>
                </m:sup>
                <m:e>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gKi</m:t>
                          </m:r>
                        </m:sub>
                        <m:sup>
                          <m:r>
                            <w:rPr>
                              <w:rFonts w:ascii="Cambria Math" w:eastAsia="SimSun" w:hAnsi="Cambria Math"/>
                            </w:rPr>
                            <m:t>1</m:t>
                          </m:r>
                        </m:sup>
                      </m:sSubSup>
                    </m:e>
                  </m:d>
                </m:e>
              </m:nary>
            </m:den>
          </m:f>
          <m:r>
            <w:rPr>
              <w:rFonts w:ascii="Cambria Math" w:eastAsia="SimSun" w:hAnsi="Cambria Math"/>
            </w:rPr>
            <m:t>≃</m:t>
          </m:r>
          <m:f>
            <m:fPr>
              <m:ctrlPr>
                <w:rPr>
                  <w:rFonts w:ascii="Cambria Math" w:eastAsia="SimSun" w:hAnsi="Cambria Math"/>
                  <w:i/>
                </w:rPr>
              </m:ctrlPr>
            </m:fPr>
            <m:num>
              <m:r>
                <w:rPr>
                  <w:rFonts w:ascii="Cambria Math" w:eastAsia="SimSun" w:hAnsi="Cambria Math"/>
                </w:rPr>
                <m:t>σ</m:t>
              </m:r>
              <m:d>
                <m:dPr>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gK56</m:t>
                      </m:r>
                    </m:sub>
                    <m:sup>
                      <m:r>
                        <w:rPr>
                          <w:rFonts w:ascii="Cambria Math" w:eastAsia="SimSun" w:hAnsi="Cambria Math"/>
                        </w:rPr>
                        <m:t>1</m:t>
                      </m:r>
                    </m:sup>
                  </m:sSubSup>
                </m:e>
              </m:d>
              <m:rad>
                <m:radPr>
                  <m:degHide m:val="1"/>
                  <m:ctrlPr>
                    <w:rPr>
                      <w:rFonts w:ascii="Cambria Math" w:eastAsia="Calibri" w:hAnsi="Cambria Math"/>
                      <w:i/>
                    </w:rPr>
                  </m:ctrlPr>
                </m:radPr>
                <m:deg/>
                <m:e>
                  <m:r>
                    <w:rPr>
                      <w:rFonts w:ascii="Cambria Math" w:eastAsia="Calibri" w:hAnsi="Cambria Math"/>
                    </w:rPr>
                    <m:t>10</m:t>
                  </m:r>
                </m:e>
              </m:rad>
            </m:num>
            <m:den>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gK56</m:t>
                      </m:r>
                    </m:sub>
                    <m:sup>
                      <m:r>
                        <w:rPr>
                          <w:rFonts w:ascii="Cambria Math" w:eastAsia="SimSun" w:hAnsi="Cambria Math"/>
                        </w:rPr>
                        <m:t>1</m:t>
                      </m:r>
                    </m:sup>
                  </m:sSubSup>
                </m:e>
              </m:d>
            </m:den>
          </m:f>
        </m:oMath>
      </m:oMathPara>
    </w:p>
    <w:p w14:paraId="32135218" w14:textId="3D071A27" w:rsidR="004E113E" w:rsidRPr="00F01706" w:rsidRDefault="004E113E" w:rsidP="00B97CCF">
      <w:pPr>
        <w:pStyle w:val="Body"/>
        <w:ind w:firstLine="0"/>
      </w:pPr>
      <m:oMathPara>
        <m:oMath>
          <m:r>
            <w:rPr>
              <w:rFonts w:ascii="Cambria Math" w:eastAsia="SimSun" w:hAnsi="Cambria Math"/>
            </w:rPr>
            <m:t xml:space="preserve">≃3 </m:t>
          </m:r>
          <m:r>
            <w:rPr>
              <w:rFonts w:ascii="Cambria Math" w:eastAsia="SimSun" w:hAnsi="Cambria Math"/>
              <w:sz w:val="22"/>
              <w:szCs w:val="22"/>
            </w:rPr>
            <m:t>CoV</m:t>
          </m:r>
          <m:d>
            <m:dPr>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gK56</m:t>
                  </m:r>
                </m:sub>
                <m:sup>
                  <m:r>
                    <w:rPr>
                      <w:rFonts w:ascii="Cambria Math" w:eastAsia="SimSun" w:hAnsi="Cambria Math"/>
                    </w:rPr>
                    <m:t>1</m:t>
                  </m:r>
                </m:sup>
              </m:sSubSup>
            </m:e>
          </m:d>
          <m:r>
            <w:rPr>
              <w:rFonts w:ascii="Cambria Math" w:eastAsia="SimSun" w:hAnsi="Cambria Math"/>
            </w:rPr>
            <m:t>≃3×</m:t>
          </m:r>
          <m:sSup>
            <m:sSupPr>
              <m:ctrlPr>
                <w:rPr>
                  <w:rFonts w:ascii="Cambria Math" w:eastAsia="SimSun" w:hAnsi="Cambria Math"/>
                  <w:i/>
                </w:rPr>
              </m:ctrlPr>
            </m:sSupPr>
            <m:e>
              <m:r>
                <w:rPr>
                  <w:rFonts w:ascii="Cambria Math" w:eastAsia="SimSun" w:hAnsi="Cambria Math"/>
                </w:rPr>
                <m:t>3.510</m:t>
              </m:r>
            </m:e>
            <m:sup>
              <m:r>
                <w:rPr>
                  <w:rFonts w:ascii="Cambria Math" w:eastAsia="SimSun" w:hAnsi="Cambria Math"/>
                </w:rPr>
                <m:t>-3</m:t>
              </m:r>
            </m:sup>
          </m:sSup>
          <m:r>
            <w:rPr>
              <w:rFonts w:ascii="Cambria Math" w:eastAsia="SimSun" w:hAnsi="Cambria Math"/>
            </w:rPr>
            <m:t>≃</m:t>
          </m:r>
          <m:sSup>
            <m:sSupPr>
              <m:ctrlPr>
                <w:rPr>
                  <w:rFonts w:ascii="Cambria Math" w:eastAsia="SimSun" w:hAnsi="Cambria Math"/>
                  <w:i/>
                </w:rPr>
              </m:ctrlPr>
            </m:sSupPr>
            <m:e>
              <m:r>
                <w:rPr>
                  <w:rFonts w:ascii="Cambria Math" w:eastAsia="SimSun" w:hAnsi="Cambria Math"/>
                </w:rPr>
                <m:t>10</m:t>
              </m:r>
            </m:e>
            <m:sup>
              <m:r>
                <w:rPr>
                  <w:rFonts w:ascii="Cambria Math" w:eastAsia="SimSun" w:hAnsi="Cambria Math"/>
                </w:rPr>
                <m:t>-2</m:t>
              </m:r>
            </m:sup>
          </m:sSup>
        </m:oMath>
      </m:oMathPara>
    </w:p>
    <w:p w14:paraId="2A4129E7" w14:textId="288D0C39" w:rsidR="004E113E" w:rsidRPr="00C07AF1" w:rsidRDefault="004E113E" w:rsidP="004E113E">
      <w:pPr>
        <w:pStyle w:val="Body"/>
        <w:ind w:firstLine="0"/>
      </w:pPr>
      <w:r w:rsidRPr="00C07AF1">
        <w:t xml:space="preserve">since </w:t>
      </w:r>
      <m:oMath>
        <m:r>
          <w:rPr>
            <w:rFonts w:ascii="Cambria Math" w:eastAsia="SimSun" w:hAnsi="Cambria Math"/>
          </w:rPr>
          <m:t>E</m:t>
        </m:r>
        <m:d>
          <m:dPr>
            <m:begChr m:val="["/>
            <m:endChr m:val="]"/>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gK56</m:t>
                </m:r>
              </m:sub>
              <m:sup>
                <m:r>
                  <w:rPr>
                    <w:rFonts w:ascii="Cambria Math" w:eastAsia="SimSun" w:hAnsi="Cambria Math"/>
                  </w:rPr>
                  <m:t>1</m:t>
                </m:r>
              </m:sup>
            </m:sSubSup>
          </m:e>
        </m:d>
        <m:r>
          <w:rPr>
            <w:rFonts w:ascii="Cambria Math" w:eastAsia="SimSun" w:hAnsi="Cambria Math"/>
          </w:rPr>
          <m:t>≫ E</m:t>
        </m:r>
        <m:d>
          <m:dPr>
            <m:begChr m:val="["/>
            <m:endChr m:val="]"/>
            <m:ctrlPr>
              <w:rPr>
                <w:rFonts w:ascii="Cambria Math" w:eastAsia="SimSun" w:hAnsi="Cambria Math"/>
                <w:i/>
              </w:rPr>
            </m:ctrlPr>
          </m:dPr>
          <m:e>
            <m:sSubSup>
              <m:sSubSupPr>
                <m:ctrlPr>
                  <w:rPr>
                    <w:rFonts w:ascii="Cambria Math" w:eastAsia="Calibri" w:hAnsi="Cambria Math"/>
                    <w:i/>
                  </w:rPr>
                </m:ctrlPr>
              </m:sSubSupPr>
              <m:e>
                <m:r>
                  <w:rPr>
                    <w:rFonts w:ascii="Cambria Math" w:eastAsia="Calibri" w:hAnsi="Cambria Math"/>
                  </w:rPr>
                  <m:t>K</m:t>
                </m:r>
              </m:e>
              <m:sub>
                <m:r>
                  <w:rPr>
                    <w:rFonts w:ascii="Cambria Math" w:eastAsia="Calibri" w:hAnsi="Cambria Math"/>
                  </w:rPr>
                  <m:t>gB</m:t>
                </m:r>
              </m:sub>
              <m:sup>
                <m:r>
                  <w:rPr>
                    <w:rFonts w:ascii="Cambria Math" w:eastAsia="Calibri" w:hAnsi="Cambria Math"/>
                  </w:rPr>
                  <m:t>1</m:t>
                </m:r>
              </m:sup>
            </m:sSubSup>
          </m:e>
        </m:d>
        <m:r>
          <w:rPr>
            <w:rFonts w:ascii="Cambria Math" w:eastAsia="SimSun" w:hAnsi="Cambria Math"/>
          </w:rPr>
          <m:t xml:space="preserve"> </m:t>
        </m:r>
        <m:r>
          <m:rPr>
            <m:nor/>
          </m:rPr>
          <w:rPr>
            <w:rFonts w:eastAsia="SimSun"/>
          </w:rPr>
          <m:t>and</m:t>
        </m:r>
        <m:r>
          <w:rPr>
            <w:rFonts w:ascii="Cambria Math" w:eastAsia="SimSun" w:hAnsi="Cambria Math"/>
          </w:rPr>
          <m:t xml:space="preserve"> </m:t>
        </m:r>
        <m:d>
          <m:dPr>
            <m:begChr m:val="["/>
            <m:endChr m:val="]"/>
            <m:ctrlPr>
              <w:rPr>
                <w:rFonts w:ascii="Cambria Math" w:eastAsia="SimSun" w:hAnsi="Cambria Math"/>
                <w:i/>
              </w:rPr>
            </m:ctrlPr>
          </m:dPr>
          <m:e>
            <m:sSubSup>
              <m:sSubSupPr>
                <m:ctrlPr>
                  <w:rPr>
                    <w:rFonts w:ascii="Cambria Math" w:eastAsia="SimSun" w:hAnsi="Cambria Math"/>
                    <w:i/>
                  </w:rPr>
                </m:ctrlPr>
              </m:sSubSupPr>
              <m:e>
                <m:r>
                  <w:rPr>
                    <w:rFonts w:ascii="Cambria Math" w:eastAsia="SimSun" w:hAnsi="Cambria Math"/>
                  </w:rPr>
                  <m:t>K</m:t>
                </m:r>
              </m:e>
              <m:sub>
                <m:r>
                  <w:rPr>
                    <w:rFonts w:ascii="Cambria Math" w:eastAsia="SimSun" w:hAnsi="Cambria Math"/>
                  </w:rPr>
                  <m:t>gKi</m:t>
                </m:r>
              </m:sub>
              <m:sup>
                <m:r>
                  <w:rPr>
                    <w:rFonts w:ascii="Cambria Math" w:eastAsia="SimSun" w:hAnsi="Cambria Math"/>
                  </w:rPr>
                  <m:t>1</m:t>
                </m:r>
              </m:sup>
            </m:sSubSup>
          </m:e>
        </m:d>
        <m:r>
          <w:rPr>
            <w:rFonts w:ascii="Cambria Math" w:eastAsia="SimSun" w:hAnsi="Cambria Math"/>
          </w:rPr>
          <m:t xml:space="preserve"> i∈</m:t>
        </m:r>
        <m:d>
          <m:dPr>
            <m:begChr m:val="{"/>
            <m:endChr m:val="}"/>
            <m:ctrlPr>
              <w:rPr>
                <w:rFonts w:ascii="Cambria Math" w:eastAsia="SimSun" w:hAnsi="Cambria Math"/>
                <w:i/>
              </w:rPr>
            </m:ctrlPr>
          </m:dPr>
          <m:e>
            <m:r>
              <w:rPr>
                <w:rFonts w:ascii="Cambria Math" w:eastAsia="SimSun" w:hAnsi="Cambria Math"/>
              </w:rPr>
              <m:t>1,…,4</m:t>
            </m:r>
          </m:e>
        </m:d>
        <m:r>
          <w:rPr>
            <w:rFonts w:ascii="Cambria Math" w:eastAsia="SimSun" w:hAnsi="Cambria Math"/>
          </w:rPr>
          <m:t>∪{7,…,10}</m:t>
        </m:r>
      </m:oMath>
      <w:r w:rsidRPr="00C07AF1">
        <w:t xml:space="preserve"> and the variances are of the same order of magnitude. Consequently, in this case study, the variability of the response of the equipment is mainly due to the variability of the signals calculated at the control point 3.</w:t>
      </w:r>
    </w:p>
    <w:p w14:paraId="20F14BD3" w14:textId="53FD0418" w:rsidR="004E113E" w:rsidRPr="00C07AF1" w:rsidRDefault="004E113E" w:rsidP="00180189">
      <w:pPr>
        <w:pStyle w:val="Titre2"/>
      </w:pPr>
      <w:r w:rsidRPr="00C07AF1">
        <w:t xml:space="preserve">Empirical </w:t>
      </w:r>
      <w:r w:rsidR="00965168">
        <w:t>S</w:t>
      </w:r>
      <w:r w:rsidRPr="00C07AF1">
        <w:t xml:space="preserve">ensitivity </w:t>
      </w:r>
      <w:r w:rsidR="00965168">
        <w:t>A</w:t>
      </w:r>
      <w:r w:rsidRPr="00C07AF1">
        <w:t>nalysis</w:t>
      </w:r>
    </w:p>
    <w:p w14:paraId="63F6AD60" w14:textId="3B90CB80" w:rsidR="004E113E" w:rsidRDefault="005E4FDD" w:rsidP="004E113E">
      <w:pPr>
        <w:pStyle w:val="Body"/>
        <w:ind w:firstLine="0"/>
      </w:pPr>
      <w:r w:rsidRPr="005E4FDD">
        <w:t xml:space="preserve">Due to the previous results, an empirical sensitivity analysis can be carried out considering a simplified SSI model composed of a one </w:t>
      </w:r>
      <w:r w:rsidR="00B97CCF">
        <w:t>DOF</w:t>
      </w:r>
      <w:r w:rsidRPr="005E4FDD">
        <w:t xml:space="preserve"> linear system strongly damped subjected to single direction of excitation. </w:t>
      </w:r>
      <w:r w:rsidR="00EC27CF">
        <w:t>I</w:t>
      </w:r>
      <w:r w:rsidR="00EC27CF" w:rsidRPr="00207BFD">
        <w:t>t is worth noting this model reduction is only true for the stick model for which the kinematic interaction of the soil-structure system has been neglected</w:t>
      </w:r>
      <w:r w:rsidR="00EC27CF">
        <w:t>.</w:t>
      </w:r>
      <w:r w:rsidR="00EC27CF" w:rsidRPr="005E4FDD">
        <w:t xml:space="preserve"> </w:t>
      </w:r>
      <w:r w:rsidRPr="005E4FDD">
        <w:t>Fig. 15</w:t>
      </w:r>
      <w:r>
        <w:t>(a)</w:t>
      </w:r>
      <w:r w:rsidRPr="005E4FDD">
        <w:t xml:space="preserve"> shows indeed, the comparison between of the third floor response spectra in the X direction, calculated with the stick model and the one </w:t>
      </w:r>
      <w:r w:rsidR="00B97CCF">
        <w:t>DOF</w:t>
      </w:r>
      <w:r w:rsidRPr="005E4FDD">
        <w:t xml:space="preserve"> linear system for the NCO earthquake</w:t>
      </w:r>
      <w:r w:rsidR="00EC27CF" w:rsidRPr="00207BFD">
        <w:t>.</w:t>
      </w:r>
      <w:r w:rsidR="00EC27CF">
        <w:t xml:space="preserve"> </w:t>
      </w:r>
      <w:r w:rsidR="004E113E" w:rsidRPr="00C07AF1">
        <w:t xml:space="preserve">Thus, in the NS direction for example, it can be noticed in </w:t>
      </w:r>
      <w:r w:rsidR="009D17C6">
        <w:t>Fig. 15</w:t>
      </w:r>
      <w:r>
        <w:t>(b)</w:t>
      </w:r>
      <w:r w:rsidR="004E113E" w:rsidRPr="00C07AF1">
        <w:t xml:space="preserve"> that at 4Hz the differences between the spectra are smaller at the floor level than at the control point 3</w:t>
      </w:r>
      <w:r w:rsidR="00EC27CF">
        <w:t xml:space="preserve"> (see Fig. 13)</w:t>
      </w:r>
      <w:r w:rsidR="004E113E" w:rsidRPr="00C07AF1">
        <w:t>, which implies a reduction of the gaps between the two approaches, especially at low levels of excitation.</w:t>
      </w:r>
    </w:p>
    <w:p w14:paraId="2C5B25D5" w14:textId="77777777" w:rsidR="00EE3256" w:rsidRDefault="00EE3256"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8"/>
      </w:tblGrid>
      <w:tr w:rsidR="005F4143" w14:paraId="4288A8C8" w14:textId="77777777" w:rsidTr="00B97CCF">
        <w:tc>
          <w:tcPr>
            <w:tcW w:w="4531" w:type="dxa"/>
            <w:vAlign w:val="center"/>
          </w:tcPr>
          <w:p w14:paraId="68F8CB52" w14:textId="2B6AE68F" w:rsidR="005F4143" w:rsidRDefault="00C107D1" w:rsidP="00B97CCF">
            <w:pPr>
              <w:pStyle w:val="Body"/>
              <w:ind w:firstLine="0"/>
              <w:jc w:val="center"/>
            </w:pPr>
            <w:r>
              <w:rPr>
                <w:noProof/>
                <w:lang w:val="fr-FR" w:eastAsia="fr-FR"/>
              </w:rPr>
              <w:drawing>
                <wp:inline distT="0" distB="0" distL="0" distR="0" wp14:anchorId="447639A0" wp14:editId="2A601D21">
                  <wp:extent cx="2878397" cy="2160000"/>
                  <wp:effectExtent l="0" t="0" r="0" b="0"/>
                  <wp:docPr id="11" name="Image 11" descr="X:\MATLABWORK\ANR_SINAPS\ETUDE_ARTICLE_WCEE2017\FIG_BESTPSHANI_2018\SROXvs1ddl.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TLABWORK\ANR_SINAPS\ETUDE_ARTICLE_WCEE2017\FIG_BESTPSHANI_2018\SROXvs1ddl.em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8397" cy="2160000"/>
                          </a:xfrm>
                          <a:prstGeom prst="rect">
                            <a:avLst/>
                          </a:prstGeom>
                          <a:noFill/>
                          <a:ln>
                            <a:noFill/>
                          </a:ln>
                        </pic:spPr>
                      </pic:pic>
                    </a:graphicData>
                  </a:graphic>
                </wp:inline>
              </w:drawing>
            </w:r>
          </w:p>
        </w:tc>
        <w:tc>
          <w:tcPr>
            <w:tcW w:w="4538" w:type="dxa"/>
            <w:vAlign w:val="center"/>
          </w:tcPr>
          <w:p w14:paraId="2B9D09AB" w14:textId="1505AD0A" w:rsidR="005F4143" w:rsidRDefault="005F4143" w:rsidP="00B97CCF">
            <w:pPr>
              <w:pStyle w:val="Body"/>
              <w:ind w:firstLine="0"/>
              <w:jc w:val="center"/>
            </w:pPr>
            <w:r>
              <w:rPr>
                <w:noProof/>
                <w:lang w:val="fr-FR" w:eastAsia="fr-FR"/>
              </w:rPr>
              <w:drawing>
                <wp:inline distT="0" distB="0" distL="0" distR="0" wp14:anchorId="15CC06A4" wp14:editId="4F278949">
                  <wp:extent cx="2882978" cy="2160000"/>
                  <wp:effectExtent l="0" t="0" r="0" b="0"/>
                  <wp:docPr id="17" name="Image 17" descr="X:\MATLABWORK\ANR_SINAPS\ETUDE_ARTICLE_WCEE2017\FIG_BESTPSHANI_2018\SRO_Planch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MATLABWORK\ANR_SINAPS\ETUDE_ARTICLE_WCEE2017\FIG_BESTPSHANI_2018\SRO_Plancher.em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2978" cy="2160000"/>
                          </a:xfrm>
                          <a:prstGeom prst="rect">
                            <a:avLst/>
                          </a:prstGeom>
                          <a:noFill/>
                          <a:ln>
                            <a:noFill/>
                          </a:ln>
                        </pic:spPr>
                      </pic:pic>
                    </a:graphicData>
                  </a:graphic>
                </wp:inline>
              </w:drawing>
            </w:r>
          </w:p>
        </w:tc>
      </w:tr>
      <w:tr w:rsidR="005E4FDD" w:rsidRPr="005E4FDD" w14:paraId="430447DD" w14:textId="77777777" w:rsidTr="00B97CCF">
        <w:tc>
          <w:tcPr>
            <w:tcW w:w="4531" w:type="dxa"/>
            <w:vAlign w:val="center"/>
          </w:tcPr>
          <w:p w14:paraId="0ECCE62A" w14:textId="1645C12E" w:rsidR="005E4FDD" w:rsidRPr="00B97CCF" w:rsidRDefault="005E4FDD">
            <w:pPr>
              <w:pStyle w:val="Body"/>
              <w:ind w:firstLine="0"/>
              <w:jc w:val="center"/>
              <w:rPr>
                <w:i/>
                <w:noProof/>
                <w:sz w:val="22"/>
                <w:szCs w:val="22"/>
                <w:lang w:val="fr-FR" w:eastAsia="fr-FR"/>
              </w:rPr>
            </w:pPr>
            <w:r w:rsidRPr="00B97CCF">
              <w:rPr>
                <w:i/>
                <w:noProof/>
                <w:sz w:val="22"/>
                <w:szCs w:val="22"/>
                <w:lang w:val="fr-FR" w:eastAsia="fr-FR"/>
              </w:rPr>
              <w:t>(a)</w:t>
            </w:r>
          </w:p>
        </w:tc>
        <w:tc>
          <w:tcPr>
            <w:tcW w:w="4538" w:type="dxa"/>
            <w:vAlign w:val="center"/>
          </w:tcPr>
          <w:p w14:paraId="65A69739" w14:textId="0D10B7AA" w:rsidR="005E4FDD" w:rsidRPr="00B97CCF" w:rsidRDefault="005E4FDD">
            <w:pPr>
              <w:pStyle w:val="Body"/>
              <w:ind w:firstLine="0"/>
              <w:jc w:val="center"/>
              <w:rPr>
                <w:i/>
                <w:noProof/>
                <w:sz w:val="22"/>
                <w:szCs w:val="22"/>
                <w:lang w:val="fr-FR" w:eastAsia="fr-FR"/>
              </w:rPr>
            </w:pPr>
            <w:r w:rsidRPr="00B97CCF">
              <w:rPr>
                <w:i/>
                <w:noProof/>
                <w:sz w:val="22"/>
                <w:szCs w:val="22"/>
                <w:lang w:val="fr-FR" w:eastAsia="fr-FR"/>
              </w:rPr>
              <w:t>(b)</w:t>
            </w:r>
          </w:p>
        </w:tc>
      </w:tr>
      <w:tr w:rsidR="005F4143" w14:paraId="148E6A64" w14:textId="77777777" w:rsidTr="00B97CCF">
        <w:tc>
          <w:tcPr>
            <w:tcW w:w="9069" w:type="dxa"/>
            <w:gridSpan w:val="2"/>
            <w:vAlign w:val="center"/>
          </w:tcPr>
          <w:p w14:paraId="4E4DAA63" w14:textId="66E12A96" w:rsidR="005F4143" w:rsidRDefault="005F4143" w:rsidP="00B97CCF">
            <w:pPr>
              <w:pStyle w:val="Body"/>
              <w:ind w:firstLine="0"/>
              <w:jc w:val="center"/>
            </w:pPr>
            <w:r>
              <w:rPr>
                <w:i/>
                <w:sz w:val="22"/>
                <w:szCs w:val="22"/>
              </w:rPr>
              <w:t>Fig. 15</w:t>
            </w:r>
            <w:r w:rsidRPr="00EF612D">
              <w:rPr>
                <w:i/>
                <w:sz w:val="22"/>
                <w:szCs w:val="22"/>
              </w:rPr>
              <w:t xml:space="preserve">. Comparison </w:t>
            </w:r>
            <w:r w:rsidR="00900211">
              <w:rPr>
                <w:i/>
                <w:sz w:val="22"/>
                <w:szCs w:val="22"/>
              </w:rPr>
              <w:t>in the NS direction</w:t>
            </w:r>
            <w:r w:rsidR="00900211" w:rsidRPr="00465EB8">
              <w:rPr>
                <w:i/>
                <w:sz w:val="22"/>
                <w:szCs w:val="22"/>
              </w:rPr>
              <w:t xml:space="preserve"> </w:t>
            </w:r>
            <w:r w:rsidRPr="00EF612D">
              <w:rPr>
                <w:i/>
                <w:sz w:val="22"/>
                <w:szCs w:val="22"/>
              </w:rPr>
              <w:t xml:space="preserve">of </w:t>
            </w:r>
            <w:r w:rsidR="00465EB8">
              <w:rPr>
                <w:i/>
                <w:sz w:val="22"/>
                <w:szCs w:val="22"/>
              </w:rPr>
              <w:t xml:space="preserve">(a) </w:t>
            </w:r>
            <w:r w:rsidR="00465EB8" w:rsidRPr="00465EB8">
              <w:rPr>
                <w:i/>
                <w:sz w:val="22"/>
                <w:szCs w:val="22"/>
              </w:rPr>
              <w:t>the third floor resp</w:t>
            </w:r>
            <w:r w:rsidR="00900211">
              <w:rPr>
                <w:i/>
                <w:sz w:val="22"/>
                <w:szCs w:val="22"/>
              </w:rPr>
              <w:t xml:space="preserve">onse spectra </w:t>
            </w:r>
            <w:r w:rsidR="00465EB8" w:rsidRPr="00465EB8">
              <w:rPr>
                <w:i/>
                <w:sz w:val="22"/>
                <w:szCs w:val="22"/>
              </w:rPr>
              <w:t xml:space="preserve">calculated with the </w:t>
            </w:r>
            <w:r w:rsidR="00465EB8">
              <w:rPr>
                <w:i/>
                <w:sz w:val="22"/>
                <w:szCs w:val="22"/>
              </w:rPr>
              <w:t xml:space="preserve">numerical models </w:t>
            </w:r>
            <w:r w:rsidR="00465EB8" w:rsidRPr="00465EB8">
              <w:rPr>
                <w:i/>
                <w:sz w:val="22"/>
                <w:szCs w:val="22"/>
              </w:rPr>
              <w:t xml:space="preserve">for the NCO earthquake </w:t>
            </w:r>
            <w:r w:rsidR="00465EB8">
              <w:rPr>
                <w:i/>
                <w:sz w:val="22"/>
                <w:szCs w:val="22"/>
              </w:rPr>
              <w:t xml:space="preserve">(b) </w:t>
            </w:r>
            <w:r w:rsidRPr="00EF612D">
              <w:rPr>
                <w:i/>
                <w:sz w:val="22"/>
                <w:szCs w:val="22"/>
              </w:rPr>
              <w:t>the medians and the quantiles at 15% and 85% of floor response spectra of signals calculated at the control point 3 for the two approaches with the simplified SSI model</w:t>
            </w:r>
          </w:p>
        </w:tc>
      </w:tr>
    </w:tbl>
    <w:p w14:paraId="111F2EF7" w14:textId="77777777" w:rsidR="005F4143" w:rsidRPr="00C07AF1" w:rsidRDefault="005F4143" w:rsidP="004E113E">
      <w:pPr>
        <w:pStyle w:val="Body"/>
        <w:ind w:firstLine="0"/>
      </w:pPr>
    </w:p>
    <w:p w14:paraId="0788F7A1" w14:textId="2707B22B" w:rsidR="004E113E" w:rsidRDefault="004E113E" w:rsidP="004E113E">
      <w:pPr>
        <w:pStyle w:val="Body"/>
        <w:ind w:firstLine="0"/>
      </w:pPr>
      <w:r w:rsidRPr="00C07AF1">
        <w:t xml:space="preserve">To have a further insight into these results, </w:t>
      </w:r>
      <w:r w:rsidR="009D17C6">
        <w:t>Fig. 16</w:t>
      </w:r>
      <w:r w:rsidRPr="00C07AF1">
        <w:t xml:space="preserve"> shows complementary results corresponding to: (i) the scatter plots of the maxima of the responses of a 4 Hz single-mode equipment, damped at 5%, and subjected either to the calculated floor signals by considering a single-mode coupled system at 2.2 Hz and damped at 37% (FRS (4 Hz, 5%)) or to the signals calculated at the control point 3 (PSA (4 Hz, 5%)) in the NS direction, versus the PGA of the signals evaluated at the control point 3; (ii) estimates of the medians and standard deviations of the fragility curves of a 4 Hz single-mode equipment versus the failure criterion. It is clear that the main effect induced by the coupled system is the limitation of the amplitudes of the responses of the equipment. Consequently, medians of fragility curves are more important for an equipment placed in the building than at the ground level. Moreover, the effect of the coupled system tends to reduce the gaps between the two approaches for the low failure criteria and to increase them for the </w:t>
      </w:r>
      <w:r w:rsidRPr="00C07AF1">
        <w:lastRenderedPageBreak/>
        <w:t>high failure criteria. The values of the logarithmic standard deviations are comparable between the two approaches.</w:t>
      </w:r>
    </w:p>
    <w:p w14:paraId="007474DA" w14:textId="77777777" w:rsidR="00CF6605" w:rsidRDefault="00CF6605"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9"/>
      </w:tblGrid>
      <w:tr w:rsidR="00CF6605" w14:paraId="3E0D20B9" w14:textId="77777777" w:rsidTr="00CF6605">
        <w:tc>
          <w:tcPr>
            <w:tcW w:w="9059" w:type="dxa"/>
            <w:vAlign w:val="center"/>
          </w:tcPr>
          <w:p w14:paraId="4DBBF0AE" w14:textId="2200BE3A" w:rsidR="00CF6605" w:rsidRDefault="0068757D" w:rsidP="00CF6605">
            <w:pPr>
              <w:pStyle w:val="Body"/>
              <w:ind w:firstLine="0"/>
              <w:jc w:val="center"/>
            </w:pPr>
            <w:r>
              <w:rPr>
                <w:noProof/>
                <w:lang w:val="fr-FR" w:eastAsia="fr-FR"/>
              </w:rPr>
              <w:drawing>
                <wp:inline distT="0" distB="0" distL="0" distR="0" wp14:anchorId="7D2FCAC5" wp14:editId="4BC90D3F">
                  <wp:extent cx="5186746" cy="2880000"/>
                  <wp:effectExtent l="0" t="0" r="0" b="0"/>
                  <wp:docPr id="70" name="Image 70" descr="X:\MATLABWORK\ANR_SINAPS\ETUDE_ARTICLE_WCEE2017\FIG_BESTPSHANI_2018\PSA_FRS_vs_PG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MATLABWORK\ANR_SINAPS\ETUDE_ARTICLE_WCEE2017\FIG_BESTPSHANI_2018\PSA_FRS_vs_PGA.em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86746" cy="2880000"/>
                          </a:xfrm>
                          <a:prstGeom prst="rect">
                            <a:avLst/>
                          </a:prstGeom>
                          <a:noFill/>
                          <a:ln>
                            <a:noFill/>
                          </a:ln>
                        </pic:spPr>
                      </pic:pic>
                    </a:graphicData>
                  </a:graphic>
                </wp:inline>
              </w:drawing>
            </w:r>
          </w:p>
        </w:tc>
      </w:tr>
      <w:tr w:rsidR="00CF6605" w14:paraId="45C039B9" w14:textId="77777777" w:rsidTr="00CF6605">
        <w:tc>
          <w:tcPr>
            <w:tcW w:w="9059" w:type="dxa"/>
            <w:vAlign w:val="center"/>
          </w:tcPr>
          <w:p w14:paraId="18AD270F" w14:textId="37C384EF" w:rsidR="00CF6605" w:rsidRPr="0093707B" w:rsidRDefault="0093707B" w:rsidP="00CF6605">
            <w:pPr>
              <w:pStyle w:val="Body"/>
              <w:ind w:firstLine="0"/>
              <w:jc w:val="center"/>
              <w:rPr>
                <w:i/>
                <w:sz w:val="22"/>
                <w:szCs w:val="22"/>
              </w:rPr>
            </w:pPr>
            <w:r w:rsidRPr="0093707B">
              <w:rPr>
                <w:i/>
                <w:sz w:val="22"/>
                <w:szCs w:val="22"/>
              </w:rPr>
              <w:t>(a)</w:t>
            </w:r>
          </w:p>
        </w:tc>
      </w:tr>
      <w:tr w:rsidR="00CF6605" w14:paraId="34A27A65" w14:textId="77777777" w:rsidTr="00CF6605">
        <w:tc>
          <w:tcPr>
            <w:tcW w:w="9059" w:type="dxa"/>
            <w:vAlign w:val="center"/>
          </w:tcPr>
          <w:p w14:paraId="7A734EC9" w14:textId="40617F35" w:rsidR="00CF6605" w:rsidRDefault="00207D2A" w:rsidP="00CF6605">
            <w:pPr>
              <w:pStyle w:val="Body"/>
              <w:ind w:firstLine="0"/>
              <w:jc w:val="center"/>
            </w:pPr>
            <w:r>
              <w:rPr>
                <w:noProof/>
                <w:lang w:val="fr-FR" w:eastAsia="fr-FR"/>
              </w:rPr>
              <w:drawing>
                <wp:inline distT="0" distB="0" distL="0" distR="0" wp14:anchorId="7759F270" wp14:editId="658EF2C6">
                  <wp:extent cx="5186746" cy="2880000"/>
                  <wp:effectExtent l="0" t="0" r="0" b="0"/>
                  <wp:docPr id="69" name="Image 69" descr="X:\MATLABWORK\ANR_SINAPS\ETUDE_ARTICLE_WCEE2017\FIG_BESTPSHANI_2018\medbet_FRSvsPS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MATLABWORK\ANR_SINAPS\ETUDE_ARTICLE_WCEE2017\FIG_BESTPSHANI_2018\medbet_FRSvsPSA.em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6746" cy="2880000"/>
                          </a:xfrm>
                          <a:prstGeom prst="rect">
                            <a:avLst/>
                          </a:prstGeom>
                          <a:noFill/>
                          <a:ln>
                            <a:noFill/>
                          </a:ln>
                        </pic:spPr>
                      </pic:pic>
                    </a:graphicData>
                  </a:graphic>
                </wp:inline>
              </w:drawing>
            </w:r>
          </w:p>
        </w:tc>
      </w:tr>
      <w:tr w:rsidR="00CF6605" w14:paraId="656F3615" w14:textId="77777777" w:rsidTr="00CF6605">
        <w:tc>
          <w:tcPr>
            <w:tcW w:w="9059" w:type="dxa"/>
            <w:vAlign w:val="center"/>
          </w:tcPr>
          <w:p w14:paraId="583E3474" w14:textId="0E25DF1B" w:rsidR="00CF6605" w:rsidRPr="0093707B" w:rsidRDefault="0093707B" w:rsidP="00CF6605">
            <w:pPr>
              <w:pStyle w:val="Body"/>
              <w:ind w:firstLine="0"/>
              <w:jc w:val="center"/>
              <w:rPr>
                <w:i/>
                <w:sz w:val="22"/>
                <w:szCs w:val="22"/>
              </w:rPr>
            </w:pPr>
            <w:r w:rsidRPr="0093707B">
              <w:rPr>
                <w:i/>
                <w:sz w:val="22"/>
                <w:szCs w:val="22"/>
              </w:rPr>
              <w:t>(b)</w:t>
            </w:r>
          </w:p>
        </w:tc>
      </w:tr>
      <w:tr w:rsidR="00CF6605" w14:paraId="5B19FDB1" w14:textId="77777777" w:rsidTr="00CF6605">
        <w:tc>
          <w:tcPr>
            <w:tcW w:w="9059" w:type="dxa"/>
            <w:vAlign w:val="center"/>
          </w:tcPr>
          <w:p w14:paraId="767AABB4" w14:textId="2B2EA3DF" w:rsidR="00CF6605" w:rsidRDefault="00CF6605" w:rsidP="00CF6605">
            <w:pPr>
              <w:pStyle w:val="Body"/>
              <w:ind w:firstLine="0"/>
              <w:jc w:val="center"/>
            </w:pPr>
            <w:r>
              <w:rPr>
                <w:i/>
                <w:sz w:val="22"/>
                <w:szCs w:val="22"/>
              </w:rPr>
              <w:t>Fig. 16</w:t>
            </w:r>
            <w:r w:rsidRPr="00EF612D">
              <w:rPr>
                <w:i/>
                <w:sz w:val="22"/>
                <w:szCs w:val="22"/>
              </w:rPr>
              <w:t>. Comparison between the two approaches with a simplified SSI model whose frequency correspond to the first eigenmode frequency of the coupled system which is equal to 2.2 Hz</w:t>
            </w:r>
            <w:r w:rsidR="0093707B">
              <w:rPr>
                <w:i/>
                <w:sz w:val="22"/>
                <w:szCs w:val="22"/>
              </w:rPr>
              <w:t>: (a) PSA (4 Hz, 5%) vs PGA and FRS (4 Hz, 5%) vs PGA, (b</w:t>
            </w:r>
            <w:r w:rsidRPr="00EF612D">
              <w:rPr>
                <w:i/>
                <w:sz w:val="22"/>
                <w:szCs w:val="22"/>
              </w:rPr>
              <w:t xml:space="preserve">) </w:t>
            </w:r>
            <m:oMath>
              <m:sSub>
                <m:sSubPr>
                  <m:ctrlPr>
                    <w:rPr>
                      <w:rFonts w:ascii="Cambria Math" w:eastAsia="Calibri" w:hAnsi="Cambria Math"/>
                      <w:i/>
                      <w:sz w:val="22"/>
                      <w:szCs w:val="22"/>
                    </w:rPr>
                  </m:ctrlPr>
                </m:sSubPr>
                <m:e>
                  <m:r>
                    <w:rPr>
                      <w:rFonts w:ascii="Cambria Math" w:eastAsia="Calibri" w:hAnsi="Cambria Math"/>
                      <w:sz w:val="22"/>
                      <w:szCs w:val="22"/>
                    </w:rPr>
                    <m:t>A</m:t>
                  </m:r>
                </m:e>
                <m:sub>
                  <m:r>
                    <w:rPr>
                      <w:rFonts w:ascii="Cambria Math" w:eastAsia="Calibri" w:hAnsi="Cambria Math"/>
                      <w:sz w:val="22"/>
                      <w:szCs w:val="22"/>
                    </w:rPr>
                    <m:t>m</m:t>
                  </m:r>
                </m:sub>
              </m:sSub>
            </m:oMath>
            <w:r w:rsidRPr="00EF612D">
              <w:rPr>
                <w:i/>
                <w:sz w:val="22"/>
                <w:szCs w:val="22"/>
              </w:rPr>
              <w:t xml:space="preserve"> vs failure criter</w:t>
            </w:r>
            <w:r w:rsidR="0093707B">
              <w:rPr>
                <w:i/>
                <w:sz w:val="22"/>
                <w:szCs w:val="22"/>
              </w:rPr>
              <w:t>ion and</w:t>
            </w:r>
            <w:r w:rsidRPr="00EF612D">
              <w:rPr>
                <w:i/>
                <w:sz w:val="22"/>
                <w:szCs w:val="22"/>
              </w:rPr>
              <w:t xml:space="preserve"> </w:t>
            </w:r>
            <m:oMath>
              <m:r>
                <w:rPr>
                  <w:rFonts w:ascii="Cambria Math" w:eastAsia="Calibri" w:hAnsi="Cambria Math"/>
                  <w:sz w:val="22"/>
                  <w:szCs w:val="22"/>
                </w:rPr>
                <m:t>β</m:t>
              </m:r>
            </m:oMath>
            <w:r w:rsidRPr="00EF612D">
              <w:rPr>
                <w:i/>
                <w:sz w:val="22"/>
                <w:szCs w:val="22"/>
              </w:rPr>
              <w:t xml:space="preserve"> vs failure criterion</w:t>
            </w:r>
          </w:p>
        </w:tc>
      </w:tr>
    </w:tbl>
    <w:p w14:paraId="0EB378C9" w14:textId="77777777" w:rsidR="00CF6605" w:rsidRDefault="00CF6605" w:rsidP="004E113E">
      <w:pPr>
        <w:pStyle w:val="Body"/>
        <w:ind w:firstLine="0"/>
      </w:pPr>
    </w:p>
    <w:p w14:paraId="79EDFBEF" w14:textId="4FDD98AB" w:rsidR="004E113E" w:rsidRDefault="004E113E" w:rsidP="004E113E">
      <w:pPr>
        <w:pStyle w:val="Body"/>
        <w:ind w:firstLine="0"/>
      </w:pPr>
      <w:r w:rsidRPr="00C07AF1">
        <w:t xml:space="preserve">Finally, as the observed trends may be sensitive to the frequency of the coupled soil-structure system as well as the frequency of the equipment, the </w:t>
      </w:r>
      <w:r w:rsidR="00525BB4">
        <w:t xml:space="preserve">following </w:t>
      </w:r>
      <w:r w:rsidR="00943F18">
        <w:t>figure</w:t>
      </w:r>
      <w:r w:rsidRPr="00C07AF1">
        <w:t>s present the results of an empirical sensitivity study relating to these two parameters.</w:t>
      </w:r>
    </w:p>
    <w:p w14:paraId="3C1E381C" w14:textId="77777777" w:rsidR="00560B54" w:rsidRPr="00C07AF1" w:rsidRDefault="00560B54" w:rsidP="00560B54">
      <w:pPr>
        <w:pStyle w:val="Body"/>
        <w:ind w:firstLine="0"/>
      </w:pPr>
      <w:r w:rsidRPr="00C07AF1">
        <w:t xml:space="preserve">These </w:t>
      </w:r>
      <w:r>
        <w:t>figure</w:t>
      </w:r>
      <w:r w:rsidRPr="00C07AF1">
        <w:t>s show similar trends to those observed in the main study, namely that the approach for which the excitation is defined at the surface tends to quasi-systematically underestimate the risk of failure.</w:t>
      </w:r>
    </w:p>
    <w:p w14:paraId="2B690F19" w14:textId="77777777" w:rsidR="00560B54" w:rsidRDefault="00560B54" w:rsidP="004E113E">
      <w:pPr>
        <w:pStyle w:val="Body"/>
        <w:ind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9"/>
      </w:tblGrid>
      <w:tr w:rsidR="00C73964" w14:paraId="7FFE88B7" w14:textId="77777777" w:rsidTr="00AF08C6">
        <w:tc>
          <w:tcPr>
            <w:tcW w:w="9059" w:type="dxa"/>
            <w:vAlign w:val="center"/>
          </w:tcPr>
          <w:p w14:paraId="39013FEF" w14:textId="213E6FDC" w:rsidR="00C73964" w:rsidRDefault="00C73964" w:rsidP="00AF08C6">
            <w:pPr>
              <w:pStyle w:val="Body"/>
              <w:ind w:firstLine="0"/>
              <w:jc w:val="center"/>
            </w:pPr>
            <w:r>
              <w:rPr>
                <w:i/>
                <w:noProof/>
                <w:sz w:val="22"/>
                <w:szCs w:val="22"/>
                <w:lang w:val="fr-FR" w:eastAsia="fr-FR"/>
              </w:rPr>
              <w:lastRenderedPageBreak/>
              <w:drawing>
                <wp:inline distT="0" distB="0" distL="0" distR="0" wp14:anchorId="73561B8B" wp14:editId="0876204F">
                  <wp:extent cx="4532483" cy="2520000"/>
                  <wp:effectExtent l="0" t="0" r="1905" b="0"/>
                  <wp:docPr id="75" name="Image 75" descr="X:\MATLABWORK\ANR_SINAPS\ETUDE_ARTICLE_WCEE2017\FIG_BESTPSHANI_2018\AnSens_medbet_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MATLABWORK\ANR_SINAPS\ETUDE_ARTICLE_WCEE2017\FIG_BESTPSHANI_2018\AnSens_medbet_2.em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32483" cy="2520000"/>
                          </a:xfrm>
                          <a:prstGeom prst="rect">
                            <a:avLst/>
                          </a:prstGeom>
                          <a:noFill/>
                          <a:ln>
                            <a:noFill/>
                          </a:ln>
                        </pic:spPr>
                      </pic:pic>
                    </a:graphicData>
                  </a:graphic>
                </wp:inline>
              </w:drawing>
            </w:r>
          </w:p>
        </w:tc>
      </w:tr>
      <w:tr w:rsidR="00C73964" w14:paraId="58F6FC91" w14:textId="77777777" w:rsidTr="00AF08C6">
        <w:tc>
          <w:tcPr>
            <w:tcW w:w="9059" w:type="dxa"/>
            <w:vAlign w:val="center"/>
          </w:tcPr>
          <w:p w14:paraId="62CFCCF7" w14:textId="77777777" w:rsidR="00C73964" w:rsidRPr="0093707B" w:rsidRDefault="00C73964" w:rsidP="00AF08C6">
            <w:pPr>
              <w:pStyle w:val="Body"/>
              <w:ind w:firstLine="0"/>
              <w:jc w:val="center"/>
              <w:rPr>
                <w:i/>
                <w:sz w:val="22"/>
                <w:szCs w:val="22"/>
              </w:rPr>
            </w:pPr>
            <w:r w:rsidRPr="0093707B">
              <w:rPr>
                <w:i/>
                <w:sz w:val="22"/>
                <w:szCs w:val="22"/>
              </w:rPr>
              <w:t>(a)</w:t>
            </w:r>
          </w:p>
        </w:tc>
      </w:tr>
      <w:tr w:rsidR="00C73964" w14:paraId="4EEDD622" w14:textId="77777777" w:rsidTr="00AF08C6">
        <w:tc>
          <w:tcPr>
            <w:tcW w:w="9059" w:type="dxa"/>
            <w:vAlign w:val="center"/>
          </w:tcPr>
          <w:p w14:paraId="1644228A" w14:textId="24D0B847" w:rsidR="00C73964" w:rsidRDefault="00C73964" w:rsidP="00AF08C6">
            <w:pPr>
              <w:pStyle w:val="Body"/>
              <w:ind w:firstLine="0"/>
              <w:jc w:val="center"/>
            </w:pPr>
            <w:r>
              <w:rPr>
                <w:noProof/>
                <w:lang w:val="fr-FR" w:eastAsia="fr-FR"/>
              </w:rPr>
              <w:drawing>
                <wp:inline distT="0" distB="0" distL="0" distR="0" wp14:anchorId="20CF5C3F" wp14:editId="36C22EE5">
                  <wp:extent cx="4538403" cy="2520000"/>
                  <wp:effectExtent l="0" t="0" r="0" b="0"/>
                  <wp:docPr id="82" name="Image 82" descr="X:\MATLABWORK\ANR_SINAPS\ETUDE_ARTICLE_WCEE2017\FIG_BESTPSHANI_2018\AnSens_medbet_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MATLABWORK\ANR_SINAPS\ETUDE_ARTICLE_WCEE2017\FIG_BESTPSHANI_2018\AnSens_medbet_4.e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38403" cy="2520000"/>
                          </a:xfrm>
                          <a:prstGeom prst="rect">
                            <a:avLst/>
                          </a:prstGeom>
                          <a:noFill/>
                          <a:ln>
                            <a:noFill/>
                          </a:ln>
                        </pic:spPr>
                      </pic:pic>
                    </a:graphicData>
                  </a:graphic>
                </wp:inline>
              </w:drawing>
            </w:r>
          </w:p>
        </w:tc>
      </w:tr>
      <w:tr w:rsidR="00C73964" w14:paraId="54C173A7" w14:textId="77777777" w:rsidTr="00AF08C6">
        <w:tc>
          <w:tcPr>
            <w:tcW w:w="9059" w:type="dxa"/>
            <w:vAlign w:val="center"/>
          </w:tcPr>
          <w:p w14:paraId="153CB391" w14:textId="77777777" w:rsidR="00C73964" w:rsidRPr="0093707B" w:rsidRDefault="00C73964" w:rsidP="00AF08C6">
            <w:pPr>
              <w:pStyle w:val="Body"/>
              <w:ind w:firstLine="0"/>
              <w:jc w:val="center"/>
              <w:rPr>
                <w:i/>
                <w:sz w:val="22"/>
                <w:szCs w:val="22"/>
              </w:rPr>
            </w:pPr>
            <w:r w:rsidRPr="0093707B">
              <w:rPr>
                <w:i/>
                <w:sz w:val="22"/>
                <w:szCs w:val="22"/>
              </w:rPr>
              <w:t>(b)</w:t>
            </w:r>
          </w:p>
        </w:tc>
      </w:tr>
      <w:tr w:rsidR="00C73964" w14:paraId="42D00DAF" w14:textId="77777777" w:rsidTr="00AF08C6">
        <w:tc>
          <w:tcPr>
            <w:tcW w:w="9059" w:type="dxa"/>
            <w:vAlign w:val="center"/>
          </w:tcPr>
          <w:p w14:paraId="1C7EAD6E" w14:textId="753E4695" w:rsidR="00C73964" w:rsidRDefault="00C73964" w:rsidP="00B57A36">
            <w:pPr>
              <w:pStyle w:val="Body"/>
              <w:ind w:firstLine="0"/>
              <w:jc w:val="center"/>
            </w:pPr>
            <w:r>
              <w:rPr>
                <w:i/>
                <w:sz w:val="22"/>
                <w:szCs w:val="22"/>
              </w:rPr>
              <w:t>Fig. 17</w:t>
            </w:r>
            <w:r w:rsidRPr="00EF612D">
              <w:rPr>
                <w:i/>
                <w:sz w:val="22"/>
                <w:szCs w:val="22"/>
              </w:rPr>
              <w:t>. Results of an empirical sensitivity analysis wit</w:t>
            </w:r>
            <w:r>
              <w:rPr>
                <w:i/>
                <w:sz w:val="22"/>
                <w:szCs w:val="22"/>
              </w:rPr>
              <w:t>h simplified SSI models: (a)</w:t>
            </w:r>
            <w:r w:rsidRPr="00EF612D">
              <w:rPr>
                <w:i/>
                <w:sz w:val="22"/>
                <w:szCs w:val="22"/>
              </w:rPr>
              <w:t xml:space="preserve"> </w:t>
            </w:r>
            <m:oMath>
              <m:sSub>
                <m:sSubPr>
                  <m:ctrlPr>
                    <w:rPr>
                      <w:rFonts w:ascii="Cambria Math" w:eastAsia="Calibri" w:hAnsi="Cambria Math"/>
                      <w:i/>
                      <w:sz w:val="22"/>
                      <w:szCs w:val="22"/>
                    </w:rPr>
                  </m:ctrlPr>
                </m:sSubPr>
                <m:e>
                  <m:r>
                    <w:rPr>
                      <w:rFonts w:ascii="Cambria Math" w:eastAsia="Calibri" w:hAnsi="Cambria Math"/>
                      <w:sz w:val="22"/>
                      <w:szCs w:val="22"/>
                    </w:rPr>
                    <m:t>A</m:t>
                  </m:r>
                </m:e>
                <m:sub>
                  <m:r>
                    <w:rPr>
                      <w:rFonts w:ascii="Cambria Math" w:eastAsia="Calibri" w:hAnsi="Cambria Math"/>
                      <w:sz w:val="22"/>
                      <w:szCs w:val="22"/>
                    </w:rPr>
                    <m:t>m</m:t>
                  </m:r>
                </m:sub>
              </m:sSub>
            </m:oMath>
            <w:r w:rsidRPr="00EF612D">
              <w:rPr>
                <w:i/>
                <w:sz w:val="22"/>
                <w:szCs w:val="22"/>
              </w:rPr>
              <w:t xml:space="preserve"> and </w:t>
            </w:r>
            <m:oMath>
              <m:r>
                <w:rPr>
                  <w:rFonts w:ascii="Cambria Math" w:eastAsia="SimSun" w:hAnsi="Cambria Math"/>
                  <w:sz w:val="22"/>
                  <w:szCs w:val="22"/>
                </w:rPr>
                <m:t>β</m:t>
              </m:r>
            </m:oMath>
            <w:r w:rsidRPr="00EF612D">
              <w:rPr>
                <w:i/>
                <w:sz w:val="22"/>
                <w:szCs w:val="22"/>
              </w:rPr>
              <w:t xml:space="preserve"> vs equipment frequency for three failure criteria </w:t>
            </w:r>
            <w:r w:rsidR="00355DCB">
              <w:rPr>
                <w:i/>
                <w:sz w:val="22"/>
                <w:szCs w:val="22"/>
              </w:rPr>
              <w:t>and</w:t>
            </w:r>
            <w:r w:rsidRPr="00EF612D">
              <w:rPr>
                <w:i/>
                <w:sz w:val="22"/>
                <w:szCs w:val="22"/>
              </w:rPr>
              <w:t xml:space="preserve"> a simplified c</w:t>
            </w:r>
            <w:r>
              <w:rPr>
                <w:i/>
                <w:sz w:val="22"/>
                <w:szCs w:val="22"/>
              </w:rPr>
              <w:t>oupled system at 2.2 Hz; (b)</w:t>
            </w:r>
            <w:r w:rsidRPr="00EF612D">
              <w:rPr>
                <w:i/>
                <w:sz w:val="22"/>
                <w:szCs w:val="22"/>
              </w:rPr>
              <w:t xml:space="preserve"> </w:t>
            </w:r>
            <m:oMath>
              <m:sSub>
                <m:sSubPr>
                  <m:ctrlPr>
                    <w:rPr>
                      <w:rFonts w:ascii="Cambria Math" w:eastAsia="Calibri" w:hAnsi="Cambria Math"/>
                      <w:i/>
                      <w:sz w:val="22"/>
                      <w:szCs w:val="22"/>
                    </w:rPr>
                  </m:ctrlPr>
                </m:sSubPr>
                <m:e>
                  <m:r>
                    <w:rPr>
                      <w:rFonts w:ascii="Cambria Math" w:eastAsia="Calibri" w:hAnsi="Cambria Math"/>
                      <w:sz w:val="22"/>
                      <w:szCs w:val="22"/>
                    </w:rPr>
                    <m:t>A</m:t>
                  </m:r>
                </m:e>
                <m:sub>
                  <m:r>
                    <w:rPr>
                      <w:rFonts w:ascii="Cambria Math" w:eastAsia="Calibri" w:hAnsi="Cambria Math"/>
                      <w:sz w:val="22"/>
                      <w:szCs w:val="22"/>
                    </w:rPr>
                    <m:t>m</m:t>
                  </m:r>
                </m:sub>
              </m:sSub>
            </m:oMath>
            <w:r w:rsidRPr="00EF612D">
              <w:rPr>
                <w:i/>
                <w:sz w:val="22"/>
                <w:szCs w:val="22"/>
              </w:rPr>
              <w:t xml:space="preserve"> and </w:t>
            </w:r>
            <m:oMath>
              <m:r>
                <w:rPr>
                  <w:rFonts w:ascii="Cambria Math" w:eastAsia="SimSun" w:hAnsi="Cambria Math"/>
                  <w:sz w:val="22"/>
                  <w:szCs w:val="22"/>
                </w:rPr>
                <m:t>β</m:t>
              </m:r>
            </m:oMath>
            <w:r w:rsidRPr="00EF612D">
              <w:rPr>
                <w:i/>
                <w:sz w:val="22"/>
                <w:szCs w:val="22"/>
              </w:rPr>
              <w:t xml:space="preserve"> vs equipment frequency for three failure criteria </w:t>
            </w:r>
            <w:r w:rsidR="00355DCB">
              <w:rPr>
                <w:i/>
                <w:sz w:val="22"/>
                <w:szCs w:val="22"/>
              </w:rPr>
              <w:t>and</w:t>
            </w:r>
            <w:r w:rsidRPr="00EF612D">
              <w:rPr>
                <w:i/>
                <w:sz w:val="22"/>
                <w:szCs w:val="22"/>
              </w:rPr>
              <w:t xml:space="preserve"> a simplified coupled system at 3.5 Hz</w:t>
            </w:r>
          </w:p>
        </w:tc>
      </w:tr>
    </w:tbl>
    <w:p w14:paraId="2CB8B2EC" w14:textId="77777777" w:rsidR="004E113E" w:rsidRPr="00C07AF1" w:rsidRDefault="004E113E" w:rsidP="00156B1F">
      <w:pPr>
        <w:pStyle w:val="Titre1"/>
      </w:pPr>
      <w:r w:rsidRPr="00C07AF1">
        <w:t>CONCLUSION</w:t>
      </w:r>
    </w:p>
    <w:p w14:paraId="44B4D0A4" w14:textId="6C20349F" w:rsidR="004E113E" w:rsidRDefault="004E113E" w:rsidP="004E113E">
      <w:pPr>
        <w:pStyle w:val="Body"/>
        <w:ind w:firstLine="0"/>
      </w:pPr>
      <w:r w:rsidRPr="00C07AF1">
        <w:t>The objective of this work was to estimate fragility curves of some selected plant equipment, due to the variability of the input seismic signals, in a soil-structure interaction problem focus</w:t>
      </w:r>
      <w:r w:rsidR="00965168">
        <w:t>ed</w:t>
      </w:r>
      <w:r w:rsidRPr="00C07AF1">
        <w:t xml:space="preserve"> on the Unit 7 Reactor Building (RB7) of the Kashiwazaki-Kariwa nuclear power plant (Japan). For this purpose, a simplified model representing the largely embedded reactor building has been used for computation efficiency and synthetic seismic signals were generated with NGA GMPE according to the July 2007 NCO earthquake scenario. In the process, soil non-linearity caused by each seismic signal has been taken into account using the equivalent linear method. This work showed that, in this case study, the variability of the response of the equipment is mainly due to the variability of the signals calculated at the control point 3 since the coupled SSI system essentially behaves like a quasi-deterministic one degree of freedom linear oscillator, strongly damped. Moreover, the results suggest that defining the control point of the input motion at the soil surface as prescribed in the French nuclear practice is not appropriate and may lead to biased results when performing non-linear soil-structure fragility analysis. In particular, it has been shown that the approach for which the excitation is defined at the surface </w:t>
      </w:r>
      <w:r w:rsidRPr="00C07AF1">
        <w:lastRenderedPageBreak/>
        <w:t xml:space="preserve">tends to quasi-systematically underestimate the risk of failure. To avoid this and knowing that in the non-linear case, the deconvolution problem is mathematically ill-posed, the control point should be defined at the outcropping bedrock level. This study also illustrates the necessity to control uncertainties in seismic loading (the coherency between the GMPE defined at the surface or at the outcropping bedrock for example), to have a better understanding of the observed results. Finally, it is worth noting that the results obtained in this study was based on a simplified </w:t>
      </w:r>
      <w:r w:rsidR="002C366C" w:rsidRPr="00C07AF1">
        <w:t>modelling</w:t>
      </w:r>
      <w:r w:rsidRPr="00C07AF1">
        <w:t xml:space="preserve"> of the soil-structure system and on the linear equivalent method for soil column deconvolution, and should be confirmed by comparison with results of more sophisticated models.</w:t>
      </w:r>
    </w:p>
    <w:p w14:paraId="23E6B501" w14:textId="77777777" w:rsidR="00C07AF1" w:rsidRPr="00FE1E7B" w:rsidRDefault="00C07AF1" w:rsidP="00FE1E7B">
      <w:pPr>
        <w:pStyle w:val="Titre"/>
      </w:pPr>
      <w:r w:rsidRPr="00FE1E7B">
        <w:t>ACKNOWLEDGEMENTS</w:t>
      </w:r>
    </w:p>
    <w:p w14:paraId="68A47B50" w14:textId="77777777" w:rsidR="00C07AF1" w:rsidRPr="003D68B4" w:rsidRDefault="00C07AF1" w:rsidP="00C07AF1">
      <w:pPr>
        <w:pStyle w:val="Body"/>
        <w:ind w:firstLine="0"/>
      </w:pPr>
      <w:r w:rsidRPr="003D68B4">
        <w:t>Special thanks to Zentner I. (EDF France) for generating the synthetic seismic signals used in this study.</w:t>
      </w:r>
    </w:p>
    <w:p w14:paraId="05D1DCB3" w14:textId="77777777" w:rsidR="00A8604F" w:rsidRPr="00C07AF1" w:rsidRDefault="00EF037A" w:rsidP="00FE1E7B">
      <w:pPr>
        <w:pStyle w:val="Titre"/>
      </w:pPr>
      <w:r w:rsidRPr="00C07AF1">
        <w:t>REFERENCES</w:t>
      </w:r>
    </w:p>
    <w:p w14:paraId="05BDEBC7" w14:textId="77777777" w:rsidR="00ED16EF" w:rsidRPr="00C07AF1" w:rsidRDefault="00ED16EF" w:rsidP="00ED16EF">
      <w:pPr>
        <w:pStyle w:val="References"/>
        <w:numPr>
          <w:ilvl w:val="0"/>
          <w:numId w:val="1"/>
        </w:numPr>
        <w:rPr>
          <w:sz w:val="22"/>
          <w:szCs w:val="22"/>
        </w:rPr>
      </w:pPr>
      <w:r w:rsidRPr="00C07AF1">
        <w:rPr>
          <w:sz w:val="22"/>
          <w:szCs w:val="22"/>
        </w:rPr>
        <w:t xml:space="preserve">IAEA (2011) “KARISMA Benchmark: Guidance document Part 1: K-K unit 7 R/B structure - Phase I, II &amp; III” IAEA-EBP-SS-WA2-KARISMA-SP-002, Rev. 04, Vienna </w:t>
      </w:r>
    </w:p>
    <w:p w14:paraId="620AF10E" w14:textId="77777777" w:rsidR="00ED16EF" w:rsidRPr="00C07AF1" w:rsidRDefault="00ED16EF" w:rsidP="00ED16EF">
      <w:pPr>
        <w:pStyle w:val="References"/>
        <w:numPr>
          <w:ilvl w:val="0"/>
          <w:numId w:val="1"/>
        </w:numPr>
        <w:rPr>
          <w:sz w:val="22"/>
          <w:szCs w:val="22"/>
        </w:rPr>
      </w:pPr>
      <w:r w:rsidRPr="00C07AF1">
        <w:rPr>
          <w:sz w:val="22"/>
          <w:szCs w:val="22"/>
        </w:rPr>
        <w:t xml:space="preserve">IAEA (2013) “Review of seismic evaluation methodologies for nuclear power plants based on benchmark exercise” </w:t>
      </w:r>
      <w:r w:rsidRPr="00C07AF1">
        <w:rPr>
          <w:i/>
          <w:sz w:val="22"/>
          <w:szCs w:val="22"/>
        </w:rPr>
        <w:t>IAEA-TECDOC-1722</w:t>
      </w:r>
      <w:r w:rsidRPr="00C07AF1">
        <w:rPr>
          <w:sz w:val="22"/>
          <w:szCs w:val="22"/>
        </w:rPr>
        <w:t>, Vienna</w:t>
      </w:r>
    </w:p>
    <w:p w14:paraId="35791E20" w14:textId="77777777" w:rsidR="00ED16EF" w:rsidRPr="00C07AF1" w:rsidRDefault="00ED16EF" w:rsidP="00ED16EF">
      <w:pPr>
        <w:pStyle w:val="References"/>
        <w:numPr>
          <w:ilvl w:val="0"/>
          <w:numId w:val="1"/>
        </w:numPr>
        <w:rPr>
          <w:sz w:val="22"/>
          <w:szCs w:val="22"/>
        </w:rPr>
      </w:pPr>
      <w:r w:rsidRPr="00C07AF1">
        <w:rPr>
          <w:sz w:val="22"/>
          <w:szCs w:val="22"/>
        </w:rPr>
        <w:t xml:space="preserve">Wang F., Rambach J.M. (2013). “Contribution to the IAEA soil-structure interaction KARISMA benchmark”, </w:t>
      </w:r>
      <w:r w:rsidRPr="00C07AF1">
        <w:rPr>
          <w:i/>
          <w:sz w:val="22"/>
          <w:szCs w:val="22"/>
        </w:rPr>
        <w:t>Proceedings of the 22nd Conference on Structural Mechanics in Reactor Technology</w:t>
      </w:r>
      <w:r w:rsidRPr="00C07AF1">
        <w:rPr>
          <w:sz w:val="22"/>
          <w:szCs w:val="22"/>
        </w:rPr>
        <w:t xml:space="preserve"> San Francisco, US.</w:t>
      </w:r>
    </w:p>
    <w:p w14:paraId="12747D3D" w14:textId="77777777" w:rsidR="00E93097" w:rsidRPr="00C07AF1" w:rsidRDefault="00E93097" w:rsidP="00E93097">
      <w:pPr>
        <w:pStyle w:val="References"/>
        <w:numPr>
          <w:ilvl w:val="0"/>
          <w:numId w:val="1"/>
        </w:numPr>
        <w:rPr>
          <w:sz w:val="22"/>
          <w:szCs w:val="22"/>
        </w:rPr>
      </w:pPr>
      <w:r w:rsidRPr="00C07AF1">
        <w:rPr>
          <w:sz w:val="22"/>
          <w:szCs w:val="22"/>
        </w:rPr>
        <w:t xml:space="preserve">Berge-Thierry C., Wang F., Feau C., Zentner I., Voldoire F., Lopez-Caballero F., Le Maoult A., Nicolas M. and RagueneauF. (2017) “The SINAPS@ french research project: first lessons of an integrated seismic risk assessment for nuclear plants safety” </w:t>
      </w:r>
      <w:r w:rsidRPr="00C07AF1">
        <w:rPr>
          <w:i/>
          <w:sz w:val="22"/>
          <w:szCs w:val="22"/>
        </w:rPr>
        <w:t>16th World Conference on Earthquake,</w:t>
      </w:r>
      <w:r w:rsidRPr="00C07AF1">
        <w:rPr>
          <w:sz w:val="22"/>
          <w:szCs w:val="22"/>
        </w:rPr>
        <w:t xml:space="preserve"> Santiago Chile.</w:t>
      </w:r>
    </w:p>
    <w:p w14:paraId="455C18C5" w14:textId="77777777" w:rsidR="00E93097" w:rsidRPr="00C07AF1" w:rsidRDefault="00E93097" w:rsidP="00E93097">
      <w:pPr>
        <w:pStyle w:val="References"/>
        <w:numPr>
          <w:ilvl w:val="0"/>
          <w:numId w:val="1"/>
        </w:numPr>
        <w:rPr>
          <w:sz w:val="22"/>
          <w:szCs w:val="22"/>
        </w:rPr>
      </w:pPr>
      <w:r w:rsidRPr="00C07AF1">
        <w:rPr>
          <w:sz w:val="22"/>
          <w:szCs w:val="22"/>
        </w:rPr>
        <w:t xml:space="preserve">Campell K.W., Bozorgnia Y. (2008) “NGA ground motion model for the geometric mean horizontal component of PGA, PGV, PGD and 5% damped linear elastic response spectra for periods ranging from 0.01 to 10s” </w:t>
      </w:r>
      <w:r w:rsidRPr="00C07AF1">
        <w:rPr>
          <w:i/>
          <w:sz w:val="22"/>
          <w:szCs w:val="22"/>
        </w:rPr>
        <w:t>Earthquake Spectra</w:t>
      </w:r>
      <w:r w:rsidRPr="00C07AF1">
        <w:rPr>
          <w:sz w:val="22"/>
          <w:szCs w:val="22"/>
        </w:rPr>
        <w:t xml:space="preserve"> 24:1 </w:t>
      </w:r>
    </w:p>
    <w:p w14:paraId="6B428EA3" w14:textId="77777777" w:rsidR="00E93097" w:rsidRPr="00C07AF1" w:rsidRDefault="00E93097" w:rsidP="00E93097">
      <w:pPr>
        <w:pStyle w:val="References"/>
        <w:numPr>
          <w:ilvl w:val="0"/>
          <w:numId w:val="1"/>
        </w:numPr>
        <w:rPr>
          <w:sz w:val="22"/>
          <w:szCs w:val="22"/>
        </w:rPr>
      </w:pPr>
      <w:r w:rsidRPr="00C07AF1">
        <w:rPr>
          <w:sz w:val="22"/>
          <w:szCs w:val="22"/>
        </w:rPr>
        <w:t xml:space="preserve">Lysmer J., Kuhlemeyer RL. (1969) “Finite dynamic model for infinite media” </w:t>
      </w:r>
      <w:r w:rsidRPr="00C07AF1">
        <w:rPr>
          <w:i/>
          <w:sz w:val="22"/>
          <w:szCs w:val="22"/>
        </w:rPr>
        <w:t xml:space="preserve">J Eng. Mech. Div. </w:t>
      </w:r>
      <w:r w:rsidRPr="00C07AF1">
        <w:rPr>
          <w:sz w:val="22"/>
          <w:szCs w:val="22"/>
        </w:rPr>
        <w:t>ASCE 95(EM4):859-877</w:t>
      </w:r>
    </w:p>
    <w:p w14:paraId="0E7CCF67" w14:textId="77777777" w:rsidR="00E93097" w:rsidRPr="00B71769" w:rsidRDefault="00E93097" w:rsidP="00E93097">
      <w:pPr>
        <w:pStyle w:val="References"/>
        <w:numPr>
          <w:ilvl w:val="0"/>
          <w:numId w:val="1"/>
        </w:numPr>
        <w:rPr>
          <w:sz w:val="22"/>
          <w:szCs w:val="22"/>
          <w:lang w:val="fr-FR"/>
        </w:rPr>
      </w:pPr>
      <w:r w:rsidRPr="00B71769">
        <w:rPr>
          <w:sz w:val="22"/>
          <w:szCs w:val="22"/>
          <w:lang w:val="fr-FR"/>
        </w:rPr>
        <w:t xml:space="preserve">ASN (2006) “Guide/ASN/2/01, Prise en compte du risque sismique à la conception des ouvrages de génie civil des installations nucléaires de base, à l'exception des stockages à long terme des déchets, radioactifs”, French Nuclear Safety Authority </w:t>
      </w:r>
    </w:p>
    <w:p w14:paraId="1A70FC4F" w14:textId="77777777" w:rsidR="0065766D" w:rsidRPr="0065766D" w:rsidRDefault="0065766D" w:rsidP="0065766D">
      <w:pPr>
        <w:pStyle w:val="Paragraphedeliste"/>
        <w:numPr>
          <w:ilvl w:val="0"/>
          <w:numId w:val="1"/>
        </w:numPr>
        <w:rPr>
          <w:sz w:val="22"/>
          <w:szCs w:val="22"/>
        </w:rPr>
      </w:pPr>
      <w:r w:rsidRPr="0065766D">
        <w:rPr>
          <w:sz w:val="22"/>
          <w:szCs w:val="22"/>
        </w:rPr>
        <w:t>Novak M., Nogami T., Aboul-Ella F. (1978) “Dynamic soil reactions for plane strain case”, Proceeding of ASCE EM4, pp.953-959</w:t>
      </w:r>
    </w:p>
    <w:p w14:paraId="7938CB90" w14:textId="77777777" w:rsidR="00C07AF1" w:rsidRPr="00C07AF1" w:rsidRDefault="00C07AF1" w:rsidP="00C07AF1">
      <w:pPr>
        <w:pStyle w:val="References"/>
        <w:numPr>
          <w:ilvl w:val="0"/>
          <w:numId w:val="1"/>
        </w:numPr>
        <w:rPr>
          <w:sz w:val="22"/>
          <w:szCs w:val="22"/>
        </w:rPr>
      </w:pPr>
      <w:r w:rsidRPr="00C07AF1">
        <w:rPr>
          <w:sz w:val="22"/>
          <w:szCs w:val="22"/>
        </w:rPr>
        <w:t xml:space="preserve">SEI (2017) “ASCE Standard ASCE/SEI 4-16: Seismic analysis of safety related nuclear structures” American Society of Civil Engineers (ASCE) </w:t>
      </w:r>
    </w:p>
    <w:p w14:paraId="79A4C202" w14:textId="77777777" w:rsidR="0065766D" w:rsidRPr="009B1E11" w:rsidRDefault="0065766D" w:rsidP="0065766D">
      <w:pPr>
        <w:pStyle w:val="Paragraphedeliste"/>
        <w:numPr>
          <w:ilvl w:val="0"/>
          <w:numId w:val="1"/>
        </w:numPr>
        <w:rPr>
          <w:sz w:val="22"/>
          <w:szCs w:val="22"/>
          <w:lang w:val="fr-FR"/>
        </w:rPr>
      </w:pPr>
      <w:r w:rsidRPr="009B1E11">
        <w:rPr>
          <w:sz w:val="22"/>
          <w:szCs w:val="22"/>
          <w:lang w:val="fr-FR"/>
        </w:rPr>
        <w:t>Sieffert J-G, Cevear F. (1992) “Manuel des fonctions d’impédance” Ouest Edition Presse Académique</w:t>
      </w:r>
    </w:p>
    <w:p w14:paraId="7D4B4F17" w14:textId="77777777" w:rsidR="0065766D" w:rsidRPr="0065766D" w:rsidRDefault="0065766D" w:rsidP="0065766D">
      <w:pPr>
        <w:pStyle w:val="Paragraphedeliste"/>
        <w:numPr>
          <w:ilvl w:val="0"/>
          <w:numId w:val="1"/>
        </w:numPr>
        <w:rPr>
          <w:sz w:val="22"/>
          <w:szCs w:val="22"/>
        </w:rPr>
      </w:pPr>
      <w:r w:rsidRPr="0065766D">
        <w:rPr>
          <w:sz w:val="22"/>
          <w:szCs w:val="22"/>
        </w:rPr>
        <w:t>Zentner I., Allain F., Humbert N. and Caudron M. (2014). “Generation of spectrum compatible ground motion and its use in regulatory and performance-based seismic analysis”. Proceedings of the 9th International Conference on Structural Dynamics, EURODYN. Porto, Portugal.</w:t>
      </w:r>
    </w:p>
    <w:p w14:paraId="25E5C5BE" w14:textId="77777777" w:rsidR="00C07AF1" w:rsidRPr="00C07AF1" w:rsidRDefault="00C07AF1" w:rsidP="00C07AF1">
      <w:pPr>
        <w:pStyle w:val="References"/>
        <w:numPr>
          <w:ilvl w:val="0"/>
          <w:numId w:val="1"/>
        </w:numPr>
        <w:rPr>
          <w:sz w:val="22"/>
          <w:szCs w:val="22"/>
        </w:rPr>
      </w:pPr>
      <w:r w:rsidRPr="00C07AF1">
        <w:rPr>
          <w:sz w:val="22"/>
          <w:szCs w:val="22"/>
        </w:rPr>
        <w:t>Bardet J.P., Ichii K., And Lineera C.H. (2002): “A Computer Program for Equivalent-linear Earthquake site Response Analyses of Layered Soil Deposits” Department of Civil Engineering, University of Southern California.</w:t>
      </w:r>
    </w:p>
    <w:p w14:paraId="486A99C8" w14:textId="3898056A" w:rsidR="00D86FFA" w:rsidRPr="00C07AF1" w:rsidRDefault="00D86FFA" w:rsidP="00D86FFA">
      <w:pPr>
        <w:pStyle w:val="Body"/>
        <w:numPr>
          <w:ilvl w:val="0"/>
          <w:numId w:val="1"/>
        </w:numPr>
        <w:rPr>
          <w:sz w:val="22"/>
          <w:szCs w:val="22"/>
        </w:rPr>
      </w:pPr>
      <w:r>
        <w:rPr>
          <w:sz w:val="22"/>
          <w:szCs w:val="22"/>
        </w:rPr>
        <w:t>AFCEN</w:t>
      </w:r>
      <w:r w:rsidR="00B97CCF">
        <w:rPr>
          <w:sz w:val="22"/>
          <w:szCs w:val="22"/>
        </w:rPr>
        <w:t>:</w:t>
      </w:r>
      <w:r>
        <w:rPr>
          <w:sz w:val="22"/>
          <w:szCs w:val="22"/>
        </w:rPr>
        <w:t xml:space="preserve"> “RCC-CW 2015 - </w:t>
      </w:r>
      <w:r w:rsidRPr="00D86FFA">
        <w:rPr>
          <w:sz w:val="22"/>
          <w:szCs w:val="22"/>
        </w:rPr>
        <w:t>Rules for design and construction of PWR nuclear civil works</w:t>
      </w:r>
      <w:r>
        <w:rPr>
          <w:sz w:val="22"/>
          <w:szCs w:val="22"/>
        </w:rPr>
        <w:t xml:space="preserve">” </w:t>
      </w:r>
    </w:p>
    <w:p w14:paraId="5A7C76D8" w14:textId="616D70C2" w:rsidR="00560B54" w:rsidRPr="00D86FFA" w:rsidRDefault="00C07AF1" w:rsidP="00D86FFA">
      <w:pPr>
        <w:pStyle w:val="Body"/>
        <w:numPr>
          <w:ilvl w:val="0"/>
          <w:numId w:val="1"/>
        </w:numPr>
        <w:rPr>
          <w:sz w:val="22"/>
          <w:szCs w:val="22"/>
        </w:rPr>
      </w:pPr>
      <w:r w:rsidRPr="00C07AF1">
        <w:rPr>
          <w:sz w:val="22"/>
          <w:szCs w:val="22"/>
        </w:rPr>
        <w:t xml:space="preserve">Zentner I. (2010) “Numerical computation of fragility curves for NPP equipment”. </w:t>
      </w:r>
      <w:r w:rsidRPr="00C07AF1">
        <w:rPr>
          <w:i/>
          <w:sz w:val="22"/>
          <w:szCs w:val="22"/>
        </w:rPr>
        <w:t>Nuclear Eng. Design</w:t>
      </w:r>
      <w:r w:rsidRPr="00C07AF1">
        <w:rPr>
          <w:sz w:val="22"/>
          <w:szCs w:val="22"/>
        </w:rPr>
        <w:t>, 240 (6), 1614-1621.</w:t>
      </w:r>
    </w:p>
    <w:sectPr w:rsidR="00560B54" w:rsidRPr="00D86FFA">
      <w:headerReference w:type="default" r:id="rId44"/>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0E581" w14:textId="77777777" w:rsidR="00ED16EF" w:rsidRDefault="00ED16EF">
      <w:r>
        <w:separator/>
      </w:r>
    </w:p>
  </w:endnote>
  <w:endnote w:type="continuationSeparator" w:id="0">
    <w:p w14:paraId="46358A03" w14:textId="77777777" w:rsidR="00ED16EF" w:rsidRDefault="00ED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5B215" w14:textId="77777777" w:rsidR="00ED16EF" w:rsidRDefault="00ED16EF">
      <w:r>
        <w:separator/>
      </w:r>
    </w:p>
  </w:footnote>
  <w:footnote w:type="continuationSeparator" w:id="0">
    <w:p w14:paraId="308D134E" w14:textId="77777777" w:rsidR="00ED16EF" w:rsidRDefault="00ED1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F9F4" w14:textId="77777777" w:rsidR="00ED16EF" w:rsidRDefault="00ED16EF" w:rsidP="00CD7274">
    <w:pPr>
      <w:pStyle w:val="En-tte"/>
      <w:spacing w:line="180" w:lineRule="auto"/>
      <w:jc w:val="left"/>
      <w:rPr>
        <w:bCs/>
        <w:sz w:val="20"/>
      </w:rPr>
    </w:pPr>
    <w:r w:rsidRPr="00CD7274">
      <w:rPr>
        <w:noProof/>
        <w:sz w:val="22"/>
        <w:szCs w:val="22"/>
        <w:lang w:val="fr-FR" w:eastAsia="fr-FR"/>
      </w:rPr>
      <w:drawing>
        <wp:anchor distT="0" distB="0" distL="114300" distR="114300" simplePos="0" relativeHeight="251658240" behindDoc="1" locked="0" layoutInCell="1" allowOverlap="1" wp14:anchorId="0DA00BAC" wp14:editId="4FEC6EB2">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Numrodepage"/>
        <w:sz w:val="22"/>
        <w:szCs w:val="22"/>
      </w:rPr>
      <w:fldChar w:fldCharType="begin"/>
    </w:r>
    <w:r w:rsidRPr="00CD7274">
      <w:rPr>
        <w:rStyle w:val="Numrodepage"/>
        <w:sz w:val="22"/>
        <w:szCs w:val="22"/>
      </w:rPr>
      <w:instrText xml:space="preserve"> PAGE </w:instrText>
    </w:r>
    <w:r w:rsidRPr="00CD7274">
      <w:rPr>
        <w:rStyle w:val="Numrodepage"/>
        <w:sz w:val="22"/>
        <w:szCs w:val="22"/>
      </w:rPr>
      <w:fldChar w:fldCharType="separate"/>
    </w:r>
    <w:r w:rsidR="00B7499A">
      <w:rPr>
        <w:rStyle w:val="Numrodepage"/>
        <w:noProof/>
        <w:sz w:val="22"/>
        <w:szCs w:val="22"/>
      </w:rPr>
      <w:t>8</w:t>
    </w:r>
    <w:r w:rsidRPr="00CD7274">
      <w:rPr>
        <w:rStyle w:val="Numrodepage"/>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14:paraId="6EEEB54B" w14:textId="77777777" w:rsidR="00ED16EF" w:rsidRDefault="00ED16EF" w:rsidP="000E236F">
    <w:pPr>
      <w:pStyle w:val="En-tte"/>
      <w:spacing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14:paraId="56ADEC2A" w14:textId="77777777" w:rsidR="00ED16EF" w:rsidRDefault="00ED16EF" w:rsidP="000E236F">
    <w:pPr>
      <w:pStyle w:val="En-tte"/>
      <w:spacing w:line="180" w:lineRule="auto"/>
      <w:jc w:val="left"/>
      <w:rPr>
        <w:sz w:val="20"/>
      </w:rPr>
    </w:pPr>
  </w:p>
  <w:p w14:paraId="6949F314" w14:textId="77777777" w:rsidR="00ED16EF" w:rsidRPr="000E236F" w:rsidRDefault="00ED16EF" w:rsidP="000E236F">
    <w:pPr>
      <w:pStyle w:val="En-tte"/>
      <w:spacing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14:paraId="54FF2EB7" w14:textId="77777777" w:rsidR="00ED16EF" w:rsidRPr="000E236F" w:rsidRDefault="00ED16EF" w:rsidP="00F106AC">
    <w:pPr>
      <w:pStyle w:val="En-tte"/>
      <w:spacing w:line="168" w:lineRule="auto"/>
      <w:jc w:val="left"/>
      <w:rPr>
        <w:bCs/>
        <w:sz w:val="20"/>
      </w:rPr>
    </w:pPr>
    <w:r w:rsidRPr="000E236F">
      <w:rPr>
        <w:noProof/>
        <w:sz w:val="20"/>
        <w:lang w:val="fr-FR" w:eastAsia="fr-FR"/>
      </w:rPr>
      <mc:AlternateContent>
        <mc:Choice Requires="wps">
          <w:drawing>
            <wp:anchor distT="4294967295" distB="4294967295" distL="114300" distR="114300" simplePos="0" relativeHeight="251657216" behindDoc="0" locked="0" layoutInCell="1" allowOverlap="1" wp14:anchorId="3C5F78C2" wp14:editId="35A8790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42562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1" w15:restartNumberingAfterBreak="0">
    <w:nsid w:val="36495279"/>
    <w:multiLevelType w:val="hybridMultilevel"/>
    <w:tmpl w:val="54B07A02"/>
    <w:lvl w:ilvl="0" w:tplc="502AB698">
      <w:start w:val="1"/>
      <w:numFmt w:val="decimal"/>
      <w:pStyle w:val="References"/>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C15791"/>
    <w:multiLevelType w:val="multilevel"/>
    <w:tmpl w:val="A288AF4C"/>
    <w:lvl w:ilvl="0">
      <w:start w:val="1"/>
      <w:numFmt w:val="decimal"/>
      <w:pStyle w:val="Titre1"/>
      <w:lvlText w:val="%1"/>
      <w:lvlJc w:val="left"/>
      <w:pPr>
        <w:ind w:left="432" w:hanging="432"/>
      </w:pPr>
    </w:lvl>
    <w:lvl w:ilvl="1">
      <w:start w:val="1"/>
      <w:numFmt w:val="decimal"/>
      <w:pStyle w:val="Titre2"/>
      <w:lvlText w:val="%1.%2"/>
      <w:lvlJc w:val="left"/>
      <w:pPr>
        <w:ind w:left="7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6AEE0857"/>
    <w:multiLevelType w:val="hybridMultilevel"/>
    <w:tmpl w:val="9C503922"/>
    <w:lvl w:ilvl="0" w:tplc="130023B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78B5251"/>
    <w:multiLevelType w:val="hybridMultilevel"/>
    <w:tmpl w:val="8F7C1FDA"/>
    <w:lvl w:ilvl="0" w:tplc="ACA6D4A0">
      <w:start w:val="1"/>
      <w:numFmt w:val="decimal"/>
      <w:pStyle w:val="Sectio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F8C66B5"/>
    <w:multiLevelType w:val="hybridMultilevel"/>
    <w:tmpl w:val="04A803B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5"/>
  </w:num>
  <w:num w:numId="15">
    <w:abstractNumId w:val="12"/>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0208B"/>
    <w:rsid w:val="00006657"/>
    <w:rsid w:val="00014B1A"/>
    <w:rsid w:val="0002184E"/>
    <w:rsid w:val="000416E7"/>
    <w:rsid w:val="00047C42"/>
    <w:rsid w:val="00070E54"/>
    <w:rsid w:val="000B1D39"/>
    <w:rsid w:val="000D7DCE"/>
    <w:rsid w:val="000E236F"/>
    <w:rsid w:val="000E7F3D"/>
    <w:rsid w:val="00130D6D"/>
    <w:rsid w:val="001402C1"/>
    <w:rsid w:val="00156B1F"/>
    <w:rsid w:val="00163949"/>
    <w:rsid w:val="00171A1B"/>
    <w:rsid w:val="00180189"/>
    <w:rsid w:val="001A6B91"/>
    <w:rsid w:val="001A6DA6"/>
    <w:rsid w:val="001C46FD"/>
    <w:rsid w:val="001C73A7"/>
    <w:rsid w:val="001C7767"/>
    <w:rsid w:val="001D3A86"/>
    <w:rsid w:val="001D7282"/>
    <w:rsid w:val="001E0A0D"/>
    <w:rsid w:val="001F5E8B"/>
    <w:rsid w:val="001F6DAF"/>
    <w:rsid w:val="00207BFD"/>
    <w:rsid w:val="00207D2A"/>
    <w:rsid w:val="002173CC"/>
    <w:rsid w:val="0022364A"/>
    <w:rsid w:val="00232BA9"/>
    <w:rsid w:val="00264647"/>
    <w:rsid w:val="00294B82"/>
    <w:rsid w:val="002C0A99"/>
    <w:rsid w:val="002C366C"/>
    <w:rsid w:val="002D4C83"/>
    <w:rsid w:val="002F563F"/>
    <w:rsid w:val="00301983"/>
    <w:rsid w:val="00304DAE"/>
    <w:rsid w:val="003105E6"/>
    <w:rsid w:val="00317945"/>
    <w:rsid w:val="003421B1"/>
    <w:rsid w:val="00355DCB"/>
    <w:rsid w:val="00381AF7"/>
    <w:rsid w:val="00390DA5"/>
    <w:rsid w:val="003962CA"/>
    <w:rsid w:val="003B0D5C"/>
    <w:rsid w:val="003C49C3"/>
    <w:rsid w:val="003C5FC9"/>
    <w:rsid w:val="003D0D93"/>
    <w:rsid w:val="003D68B4"/>
    <w:rsid w:val="003E7F23"/>
    <w:rsid w:val="003F7121"/>
    <w:rsid w:val="00414D77"/>
    <w:rsid w:val="0042284E"/>
    <w:rsid w:val="00433837"/>
    <w:rsid w:val="00433FAC"/>
    <w:rsid w:val="004405B0"/>
    <w:rsid w:val="0045058D"/>
    <w:rsid w:val="00450C8E"/>
    <w:rsid w:val="00465EB8"/>
    <w:rsid w:val="00471ED0"/>
    <w:rsid w:val="00487E6D"/>
    <w:rsid w:val="00490714"/>
    <w:rsid w:val="004954E1"/>
    <w:rsid w:val="00495F51"/>
    <w:rsid w:val="00496132"/>
    <w:rsid w:val="004B541C"/>
    <w:rsid w:val="004C04F4"/>
    <w:rsid w:val="004C3FC9"/>
    <w:rsid w:val="004D1CA4"/>
    <w:rsid w:val="004E113E"/>
    <w:rsid w:val="004F3C7F"/>
    <w:rsid w:val="004F67B9"/>
    <w:rsid w:val="004F71CF"/>
    <w:rsid w:val="005026D8"/>
    <w:rsid w:val="0051392A"/>
    <w:rsid w:val="00525BB4"/>
    <w:rsid w:val="00525DBB"/>
    <w:rsid w:val="00560B54"/>
    <w:rsid w:val="00571E80"/>
    <w:rsid w:val="00576D1A"/>
    <w:rsid w:val="005872DE"/>
    <w:rsid w:val="005A3FD0"/>
    <w:rsid w:val="005B692C"/>
    <w:rsid w:val="005B6ECB"/>
    <w:rsid w:val="005C5ACC"/>
    <w:rsid w:val="005E4FDD"/>
    <w:rsid w:val="005E7A81"/>
    <w:rsid w:val="005F4143"/>
    <w:rsid w:val="006071BC"/>
    <w:rsid w:val="0061101D"/>
    <w:rsid w:val="00611EAA"/>
    <w:rsid w:val="00612552"/>
    <w:rsid w:val="00626E86"/>
    <w:rsid w:val="00627832"/>
    <w:rsid w:val="006312AE"/>
    <w:rsid w:val="0063486B"/>
    <w:rsid w:val="00636604"/>
    <w:rsid w:val="0065766D"/>
    <w:rsid w:val="00660F2B"/>
    <w:rsid w:val="006645D6"/>
    <w:rsid w:val="00686A63"/>
    <w:rsid w:val="0068757D"/>
    <w:rsid w:val="006B2376"/>
    <w:rsid w:val="006C4554"/>
    <w:rsid w:val="006D03FF"/>
    <w:rsid w:val="006D0E5A"/>
    <w:rsid w:val="006D4337"/>
    <w:rsid w:val="006D6A78"/>
    <w:rsid w:val="006E2A3A"/>
    <w:rsid w:val="006E2C4B"/>
    <w:rsid w:val="006F13D1"/>
    <w:rsid w:val="006F1F8E"/>
    <w:rsid w:val="006F7986"/>
    <w:rsid w:val="00700D07"/>
    <w:rsid w:val="00710C66"/>
    <w:rsid w:val="0072728C"/>
    <w:rsid w:val="00730AD7"/>
    <w:rsid w:val="00732229"/>
    <w:rsid w:val="00733A75"/>
    <w:rsid w:val="00733FE4"/>
    <w:rsid w:val="00736E53"/>
    <w:rsid w:val="00766791"/>
    <w:rsid w:val="00772477"/>
    <w:rsid w:val="00774279"/>
    <w:rsid w:val="007A04B5"/>
    <w:rsid w:val="007B2141"/>
    <w:rsid w:val="007C09EE"/>
    <w:rsid w:val="007D461F"/>
    <w:rsid w:val="007F5136"/>
    <w:rsid w:val="00800FD1"/>
    <w:rsid w:val="00802226"/>
    <w:rsid w:val="00802734"/>
    <w:rsid w:val="008104A5"/>
    <w:rsid w:val="00812B3F"/>
    <w:rsid w:val="0081493D"/>
    <w:rsid w:val="0082490B"/>
    <w:rsid w:val="008511E2"/>
    <w:rsid w:val="00895188"/>
    <w:rsid w:val="008955CD"/>
    <w:rsid w:val="008A79FD"/>
    <w:rsid w:val="008B107F"/>
    <w:rsid w:val="008D37C8"/>
    <w:rsid w:val="008E00A9"/>
    <w:rsid w:val="008E0D6E"/>
    <w:rsid w:val="008E5FC3"/>
    <w:rsid w:val="008F502F"/>
    <w:rsid w:val="00900211"/>
    <w:rsid w:val="009173FE"/>
    <w:rsid w:val="00917E82"/>
    <w:rsid w:val="00931C0C"/>
    <w:rsid w:val="00932798"/>
    <w:rsid w:val="00935E21"/>
    <w:rsid w:val="009366C0"/>
    <w:rsid w:val="0093707B"/>
    <w:rsid w:val="00943F18"/>
    <w:rsid w:val="00962437"/>
    <w:rsid w:val="00965168"/>
    <w:rsid w:val="00981611"/>
    <w:rsid w:val="00991920"/>
    <w:rsid w:val="0099373A"/>
    <w:rsid w:val="009B1E11"/>
    <w:rsid w:val="009C037D"/>
    <w:rsid w:val="009C4639"/>
    <w:rsid w:val="009D17C6"/>
    <w:rsid w:val="009D7FF4"/>
    <w:rsid w:val="009E1F76"/>
    <w:rsid w:val="009E6821"/>
    <w:rsid w:val="009E6BE9"/>
    <w:rsid w:val="009F5B43"/>
    <w:rsid w:val="009F6A57"/>
    <w:rsid w:val="00A03D1E"/>
    <w:rsid w:val="00A07F00"/>
    <w:rsid w:val="00A56092"/>
    <w:rsid w:val="00A67EEC"/>
    <w:rsid w:val="00A7109B"/>
    <w:rsid w:val="00A8265F"/>
    <w:rsid w:val="00A832B2"/>
    <w:rsid w:val="00A8604F"/>
    <w:rsid w:val="00A9744D"/>
    <w:rsid w:val="00AB50B5"/>
    <w:rsid w:val="00AC1A01"/>
    <w:rsid w:val="00AD50A4"/>
    <w:rsid w:val="00AD6865"/>
    <w:rsid w:val="00AE457F"/>
    <w:rsid w:val="00B07534"/>
    <w:rsid w:val="00B57A36"/>
    <w:rsid w:val="00B61945"/>
    <w:rsid w:val="00B6673D"/>
    <w:rsid w:val="00B71769"/>
    <w:rsid w:val="00B74868"/>
    <w:rsid w:val="00B7499A"/>
    <w:rsid w:val="00B77918"/>
    <w:rsid w:val="00B8107F"/>
    <w:rsid w:val="00B83B72"/>
    <w:rsid w:val="00B97CCF"/>
    <w:rsid w:val="00BA68DD"/>
    <w:rsid w:val="00BD10FB"/>
    <w:rsid w:val="00C07AF1"/>
    <w:rsid w:val="00C107D1"/>
    <w:rsid w:val="00C12E12"/>
    <w:rsid w:val="00C1349D"/>
    <w:rsid w:val="00C17168"/>
    <w:rsid w:val="00C22FC3"/>
    <w:rsid w:val="00C621F4"/>
    <w:rsid w:val="00C63226"/>
    <w:rsid w:val="00C73964"/>
    <w:rsid w:val="00C73BBC"/>
    <w:rsid w:val="00C96846"/>
    <w:rsid w:val="00CA3A08"/>
    <w:rsid w:val="00CB18AB"/>
    <w:rsid w:val="00CD2FF0"/>
    <w:rsid w:val="00CD7274"/>
    <w:rsid w:val="00CD7E87"/>
    <w:rsid w:val="00CE4BBF"/>
    <w:rsid w:val="00CE541E"/>
    <w:rsid w:val="00CF2DBC"/>
    <w:rsid w:val="00CF6605"/>
    <w:rsid w:val="00D0032B"/>
    <w:rsid w:val="00D005D3"/>
    <w:rsid w:val="00D01943"/>
    <w:rsid w:val="00D11FA3"/>
    <w:rsid w:val="00D22A1F"/>
    <w:rsid w:val="00D302EE"/>
    <w:rsid w:val="00D43799"/>
    <w:rsid w:val="00D50C24"/>
    <w:rsid w:val="00D61B8C"/>
    <w:rsid w:val="00D77FB8"/>
    <w:rsid w:val="00D86FFA"/>
    <w:rsid w:val="00D95964"/>
    <w:rsid w:val="00DA636A"/>
    <w:rsid w:val="00DB5036"/>
    <w:rsid w:val="00DD6690"/>
    <w:rsid w:val="00DF14FD"/>
    <w:rsid w:val="00DF1EB7"/>
    <w:rsid w:val="00E12B53"/>
    <w:rsid w:val="00E16AD8"/>
    <w:rsid w:val="00E238A7"/>
    <w:rsid w:val="00E24F8B"/>
    <w:rsid w:val="00E26054"/>
    <w:rsid w:val="00E43104"/>
    <w:rsid w:val="00E44FC0"/>
    <w:rsid w:val="00E502F9"/>
    <w:rsid w:val="00E54C7C"/>
    <w:rsid w:val="00E61647"/>
    <w:rsid w:val="00E76C4F"/>
    <w:rsid w:val="00E90CC7"/>
    <w:rsid w:val="00E92588"/>
    <w:rsid w:val="00E93097"/>
    <w:rsid w:val="00EB0B35"/>
    <w:rsid w:val="00EB59AA"/>
    <w:rsid w:val="00EB74FD"/>
    <w:rsid w:val="00EC27CF"/>
    <w:rsid w:val="00ED16EF"/>
    <w:rsid w:val="00EE3256"/>
    <w:rsid w:val="00EF037A"/>
    <w:rsid w:val="00EF612D"/>
    <w:rsid w:val="00EF781B"/>
    <w:rsid w:val="00F01706"/>
    <w:rsid w:val="00F07F2D"/>
    <w:rsid w:val="00F106AC"/>
    <w:rsid w:val="00F12D73"/>
    <w:rsid w:val="00F13A3B"/>
    <w:rsid w:val="00F30406"/>
    <w:rsid w:val="00F30BE5"/>
    <w:rsid w:val="00F31F0A"/>
    <w:rsid w:val="00F35374"/>
    <w:rsid w:val="00F40824"/>
    <w:rsid w:val="00F66743"/>
    <w:rsid w:val="00F706E9"/>
    <w:rsid w:val="00F73665"/>
    <w:rsid w:val="00F82704"/>
    <w:rsid w:val="00FB559A"/>
    <w:rsid w:val="00FD746F"/>
    <w:rsid w:val="00FE1E7B"/>
    <w:rsid w:val="00FF0508"/>
  </w:rsids>
  <m:mathPr>
    <m:mathFont m:val="Cambria Math"/>
    <m:brkBin m:val="before"/>
    <m:brkBinSub m:val="--"/>
    <m:smallFrac m:val="0"/>
    <m:dispDef/>
    <m:lMargin m:val="0"/>
    <m:rMargin m:val="0"/>
    <m:defJc m:val="centerGroup"/>
    <m:wrapRight/>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2EF19DBA"/>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AF1"/>
    <w:pPr>
      <w:suppressAutoHyphens/>
      <w:overflowPunct w:val="0"/>
      <w:autoSpaceDE w:val="0"/>
      <w:autoSpaceDN w:val="0"/>
      <w:adjustRightInd w:val="0"/>
      <w:jc w:val="both"/>
      <w:textAlignment w:val="baseline"/>
    </w:pPr>
    <w:rPr>
      <w:rFonts w:ascii="Times" w:hAnsi="Times"/>
      <w:sz w:val="24"/>
      <w:lang w:val="en-GB" w:eastAsia="en-US"/>
    </w:rPr>
  </w:style>
  <w:style w:type="paragraph" w:styleId="Titre1">
    <w:name w:val="heading 1"/>
    <w:basedOn w:val="Normal"/>
    <w:next w:val="Normal"/>
    <w:link w:val="Titre1Car"/>
    <w:qFormat/>
    <w:rsid w:val="00156B1F"/>
    <w:pPr>
      <w:numPr>
        <w:numId w:val="15"/>
      </w:numPr>
      <w:snapToGrid w:val="0"/>
      <w:spacing w:before="240" w:after="120"/>
      <w:ind w:left="431" w:hanging="431"/>
      <w:jc w:val="left"/>
      <w:outlineLvl w:val="0"/>
    </w:pPr>
    <w:rPr>
      <w:b/>
    </w:rPr>
  </w:style>
  <w:style w:type="paragraph" w:styleId="Titre2">
    <w:name w:val="heading 2"/>
    <w:basedOn w:val="Titre4"/>
    <w:next w:val="Normal"/>
    <w:link w:val="Titre2Car"/>
    <w:autoRedefine/>
    <w:qFormat/>
    <w:rsid w:val="00180189"/>
    <w:pPr>
      <w:keepNext w:val="0"/>
      <w:widowControl w:val="0"/>
      <w:numPr>
        <w:ilvl w:val="1"/>
      </w:numPr>
      <w:suppressAutoHyphens w:val="0"/>
      <w:overflowPunct/>
      <w:autoSpaceDE/>
      <w:autoSpaceDN/>
      <w:adjustRightInd/>
      <w:spacing w:before="120" w:after="120"/>
      <w:ind w:left="578" w:right="397" w:hanging="578"/>
      <w:textAlignment w:val="auto"/>
      <w:outlineLvl w:val="1"/>
    </w:pPr>
    <w:rPr>
      <w:rFonts w:eastAsia="Times New Roman"/>
      <w:bCs w:val="0"/>
      <w:szCs w:val="20"/>
      <w:lang w:eastAsia="x-none"/>
    </w:rPr>
  </w:style>
  <w:style w:type="paragraph" w:styleId="Titre3">
    <w:name w:val="heading 3"/>
    <w:basedOn w:val="Normal"/>
    <w:next w:val="Normal"/>
    <w:qFormat/>
    <w:rsid w:val="009E1F76"/>
    <w:pPr>
      <w:keepNext/>
      <w:numPr>
        <w:ilvl w:val="2"/>
        <w:numId w:val="15"/>
      </w:numPr>
      <w:spacing w:before="240" w:after="240"/>
      <w:outlineLvl w:val="2"/>
    </w:pPr>
    <w:rPr>
      <w:rFonts w:ascii="Times New Roman" w:hAnsi="Times New Roman" w:cs="Arial"/>
      <w:b/>
      <w:bCs/>
      <w:szCs w:val="26"/>
    </w:rPr>
  </w:style>
  <w:style w:type="paragraph" w:styleId="Titre4">
    <w:name w:val="heading 4"/>
    <w:basedOn w:val="Normal"/>
    <w:next w:val="Normal"/>
    <w:qFormat/>
    <w:rsid w:val="003C49C3"/>
    <w:pPr>
      <w:keepNext/>
      <w:numPr>
        <w:ilvl w:val="3"/>
        <w:numId w:val="15"/>
      </w:numPr>
      <w:spacing w:before="240" w:after="240"/>
      <w:outlineLvl w:val="3"/>
    </w:pPr>
    <w:rPr>
      <w:rFonts w:ascii="Times New Roman" w:hAnsi="Times New Roman"/>
      <w:b/>
      <w:bCs/>
      <w:szCs w:val="28"/>
    </w:rPr>
  </w:style>
  <w:style w:type="paragraph" w:styleId="Titre5">
    <w:name w:val="heading 5"/>
    <w:basedOn w:val="Normal"/>
    <w:next w:val="Normal"/>
    <w:qFormat/>
    <w:pPr>
      <w:numPr>
        <w:ilvl w:val="4"/>
        <w:numId w:val="15"/>
      </w:numPr>
      <w:spacing w:before="240" w:after="60"/>
      <w:outlineLvl w:val="4"/>
    </w:pPr>
    <w:rPr>
      <w:b/>
      <w:bCs/>
      <w:i/>
      <w:iCs/>
      <w:sz w:val="26"/>
      <w:szCs w:val="26"/>
    </w:rPr>
  </w:style>
  <w:style w:type="paragraph" w:styleId="Titre6">
    <w:name w:val="heading 6"/>
    <w:basedOn w:val="Normal"/>
    <w:next w:val="Normal"/>
    <w:qFormat/>
    <w:pPr>
      <w:numPr>
        <w:ilvl w:val="5"/>
        <w:numId w:val="15"/>
      </w:numPr>
      <w:spacing w:before="240" w:after="60"/>
      <w:outlineLvl w:val="5"/>
    </w:pPr>
    <w:rPr>
      <w:rFonts w:ascii="Times New Roman" w:hAnsi="Times New Roman"/>
      <w:b/>
      <w:bCs/>
      <w:sz w:val="22"/>
      <w:szCs w:val="22"/>
    </w:rPr>
  </w:style>
  <w:style w:type="paragraph" w:styleId="Titre7">
    <w:name w:val="heading 7"/>
    <w:basedOn w:val="Normal"/>
    <w:next w:val="Normal"/>
    <w:qFormat/>
    <w:pPr>
      <w:numPr>
        <w:ilvl w:val="6"/>
        <w:numId w:val="15"/>
      </w:numPr>
      <w:spacing w:before="240" w:after="60"/>
      <w:outlineLvl w:val="6"/>
    </w:pPr>
    <w:rPr>
      <w:rFonts w:ascii="Times New Roman" w:hAnsi="Times New Roman"/>
      <w:szCs w:val="24"/>
    </w:rPr>
  </w:style>
  <w:style w:type="paragraph" w:styleId="Titre8">
    <w:name w:val="heading 8"/>
    <w:basedOn w:val="Normal"/>
    <w:next w:val="Normal"/>
    <w:qFormat/>
    <w:pPr>
      <w:numPr>
        <w:ilvl w:val="7"/>
        <w:numId w:val="15"/>
      </w:numPr>
      <w:spacing w:before="240" w:after="60"/>
      <w:outlineLvl w:val="7"/>
    </w:pPr>
    <w:rPr>
      <w:rFonts w:ascii="Times New Roman" w:hAnsi="Times New Roman"/>
      <w:i/>
      <w:iCs/>
      <w:szCs w:val="24"/>
    </w:rPr>
  </w:style>
  <w:style w:type="paragraph" w:styleId="Titre9">
    <w:name w:val="heading 9"/>
    <w:basedOn w:val="Normal"/>
    <w:next w:val="Normal"/>
    <w:qFormat/>
    <w:pPr>
      <w:numPr>
        <w:ilvl w:val="8"/>
        <w:numId w:val="15"/>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Pr>
      <w:vertAlign w:val="superscript"/>
    </w:rPr>
  </w:style>
  <w:style w:type="character" w:customStyle="1" w:styleId="WW-Absatz-Standardschriftart">
    <w:name w:val="WW-Absatz-Standardschriftart"/>
    <w:rPr>
      <w:sz w:val="24"/>
    </w:rPr>
  </w:style>
  <w:style w:type="character" w:styleId="Lienhypertexte">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Notedebasdepage">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Lienhypertextesuivivisit">
    <w:name w:val="FollowedHyperlink"/>
    <w:rPr>
      <w:color w:val="800080"/>
      <w:u w:val="single"/>
    </w:rPr>
  </w:style>
  <w:style w:type="paragraph" w:styleId="En-tte">
    <w:name w:val="header"/>
    <w:basedOn w:val="Normal"/>
    <w:link w:val="En-tteCar"/>
    <w:uiPriority w:val="99"/>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Corpsdetexte">
    <w:name w:val="Body Text"/>
    <w:basedOn w:val="Normal"/>
    <w:pPr>
      <w:jc w:val="center"/>
    </w:pPr>
    <w:rPr>
      <w:rFonts w:ascii="Times New Roman" w:hAnsi="Times New Roman"/>
      <w:b/>
      <w:sz w:val="28"/>
      <w:lang w:val="en-US"/>
    </w:rPr>
  </w:style>
  <w:style w:type="paragraph" w:styleId="Normalcentr">
    <w:name w:val="Block Text"/>
    <w:basedOn w:val="Normal"/>
    <w:pPr>
      <w:ind w:left="1440" w:right="1440"/>
    </w:pPr>
  </w:style>
  <w:style w:type="paragraph" w:styleId="Corpsdetexte2">
    <w:name w:val="Body Text 2"/>
    <w:basedOn w:val="Normal"/>
    <w:pPr>
      <w:spacing w:line="480" w:lineRule="auto"/>
    </w:pPr>
  </w:style>
  <w:style w:type="paragraph" w:styleId="Corpsdetexte3">
    <w:name w:val="Body Text 3"/>
    <w:basedOn w:val="Normal"/>
    <w:rPr>
      <w:sz w:val="16"/>
      <w:szCs w:val="16"/>
    </w:rPr>
  </w:style>
  <w:style w:type="paragraph" w:styleId="Retrait1religne">
    <w:name w:val="Body Text First Indent"/>
    <w:basedOn w:val="Corpsdetexte"/>
    <w:pPr>
      <w:ind w:firstLine="210"/>
      <w:jc w:val="left"/>
    </w:pPr>
    <w:rPr>
      <w:rFonts w:ascii="Times" w:hAnsi="Times"/>
      <w:b w:val="0"/>
      <w:sz w:val="24"/>
      <w:lang w:val="en-GB"/>
    </w:rPr>
  </w:style>
  <w:style w:type="paragraph" w:styleId="Retraitcorpsdetexte">
    <w:name w:val="Body Text Indent"/>
    <w:basedOn w:val="Normal"/>
    <w:pPr>
      <w:ind w:left="283"/>
    </w:pPr>
  </w:style>
  <w:style w:type="paragraph" w:styleId="Retraitcorpset1relig">
    <w:name w:val="Body Text First Indent 2"/>
    <w:basedOn w:val="Retraitcorpsdetexte"/>
    <w:pPr>
      <w:ind w:firstLine="210"/>
    </w:pPr>
  </w:style>
  <w:style w:type="paragraph" w:styleId="Retraitcorpsdetexte2">
    <w:name w:val="Body Text Indent 2"/>
    <w:basedOn w:val="Normal"/>
    <w:pPr>
      <w:spacing w:line="480" w:lineRule="auto"/>
      <w:ind w:left="283"/>
    </w:pPr>
  </w:style>
  <w:style w:type="paragraph" w:styleId="Retraitcorpsdetexte3">
    <w:name w:val="Body Text Indent 3"/>
    <w:basedOn w:val="Normal"/>
    <w:pPr>
      <w:ind w:left="283"/>
    </w:pPr>
    <w:rPr>
      <w:sz w:val="16"/>
      <w:szCs w:val="16"/>
    </w:rPr>
  </w:style>
  <w:style w:type="paragraph" w:styleId="Lgende">
    <w:name w:val="caption"/>
    <w:basedOn w:val="Normal"/>
    <w:next w:val="Normal"/>
    <w:qFormat/>
    <w:pPr>
      <w:spacing w:before="120"/>
    </w:pPr>
    <w:rPr>
      <w:b/>
      <w:bCs/>
      <w:sz w:val="20"/>
    </w:rPr>
  </w:style>
  <w:style w:type="paragraph" w:styleId="Formuledepolitesse">
    <w:name w:val="Closing"/>
    <w:basedOn w:val="Normal"/>
    <w:pPr>
      <w:ind w:left="4252"/>
    </w:pPr>
  </w:style>
  <w:style w:type="paragraph" w:styleId="Commentaire">
    <w:name w:val="annotation text"/>
    <w:basedOn w:val="Normal"/>
    <w:link w:val="CommentaireCar"/>
    <w:uiPriority w:val="99"/>
    <w:semiHidden/>
    <w:rPr>
      <w:sz w:val="20"/>
    </w:rPr>
  </w:style>
  <w:style w:type="paragraph" w:styleId="Date">
    <w:name w:val="Date"/>
    <w:basedOn w:val="Normal"/>
    <w:next w:val="Normal"/>
  </w:style>
  <w:style w:type="paragraph" w:styleId="Explorateurdedocuments">
    <w:name w:val="Document Map"/>
    <w:basedOn w:val="Normal"/>
    <w:semiHidden/>
    <w:pPr>
      <w:shd w:val="clear" w:color="auto" w:fill="000080"/>
    </w:pPr>
    <w:rPr>
      <w:rFonts w:ascii="Tahoma" w:hAnsi="Tahoma" w:cs="Tahoma"/>
    </w:rPr>
  </w:style>
  <w:style w:type="paragraph" w:styleId="Signaturelectronique">
    <w:name w:val="E-mail Signature"/>
    <w:basedOn w:val="Normal"/>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Cs w:val="24"/>
    </w:rPr>
  </w:style>
  <w:style w:type="paragraph" w:styleId="Adresseexpditeur">
    <w:name w:val="envelope return"/>
    <w:basedOn w:val="Normal"/>
    <w:rPr>
      <w:rFonts w:ascii="Arial" w:hAnsi="Arial" w:cs="Arial"/>
      <w:sz w:val="20"/>
    </w:rPr>
  </w:style>
  <w:style w:type="paragraph" w:styleId="AdresseHTML">
    <w:name w:val="HTML Address"/>
    <w:basedOn w:val="Normal"/>
    <w:rPr>
      <w:i/>
      <w:iCs/>
    </w:rPr>
  </w:style>
  <w:style w:type="paragraph" w:styleId="PrformatHTML">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autoRedefine/>
    <w:pPr>
      <w:numPr>
        <w:numId w:val="2"/>
      </w:numPr>
    </w:pPr>
  </w:style>
  <w:style w:type="paragraph" w:styleId="Listepuces2">
    <w:name w:val="List Bullet 2"/>
    <w:basedOn w:val="Normal"/>
    <w:autoRedefine/>
    <w:pPr>
      <w:numPr>
        <w:numId w:val="3"/>
      </w:numPr>
    </w:pPr>
  </w:style>
  <w:style w:type="paragraph" w:styleId="Listepuces3">
    <w:name w:val="List Bullet 3"/>
    <w:basedOn w:val="Normal"/>
    <w:autoRedefine/>
    <w:pPr>
      <w:numPr>
        <w:numId w:val="4"/>
      </w:numPr>
    </w:pPr>
  </w:style>
  <w:style w:type="paragraph" w:styleId="Listepuces4">
    <w:name w:val="List Bullet 4"/>
    <w:basedOn w:val="Normal"/>
    <w:autoRedefine/>
    <w:pPr>
      <w:numPr>
        <w:numId w:val="5"/>
      </w:numPr>
    </w:pPr>
  </w:style>
  <w:style w:type="paragraph" w:styleId="Listepuces5">
    <w:name w:val="List Bullet 5"/>
    <w:basedOn w:val="Normal"/>
    <w:autoRedefine/>
    <w:pPr>
      <w:numPr>
        <w:numId w:val="6"/>
      </w:numPr>
    </w:pPr>
  </w:style>
  <w:style w:type="paragraph" w:styleId="Listecontinue">
    <w:name w:val="List Continue"/>
    <w:basedOn w:val="Normal"/>
    <w:pPr>
      <w:ind w:left="283"/>
    </w:pPr>
  </w:style>
  <w:style w:type="paragraph" w:styleId="Listecontinue2">
    <w:name w:val="List Continue 2"/>
    <w:basedOn w:val="Normal"/>
    <w:pPr>
      <w:ind w:left="566"/>
    </w:pPr>
  </w:style>
  <w:style w:type="paragraph" w:styleId="Listecontinue3">
    <w:name w:val="List Continue 3"/>
    <w:basedOn w:val="Normal"/>
    <w:pPr>
      <w:ind w:left="849"/>
    </w:pPr>
  </w:style>
  <w:style w:type="paragraph" w:styleId="Listecontinue4">
    <w:name w:val="List Continue 4"/>
    <w:basedOn w:val="Normal"/>
    <w:pPr>
      <w:ind w:left="1132"/>
    </w:pPr>
  </w:style>
  <w:style w:type="paragraph" w:styleId="Listecontinue5">
    <w:name w:val="List Continue 5"/>
    <w:basedOn w:val="Normal"/>
    <w:pPr>
      <w:ind w:left="1415"/>
    </w:pPr>
  </w:style>
  <w:style w:type="paragraph" w:styleId="Listenumros">
    <w:name w:val="List Number"/>
    <w:basedOn w:val="Normal"/>
    <w:pPr>
      <w:numPr>
        <w:numId w:val="7"/>
      </w:numPr>
    </w:pPr>
  </w:style>
  <w:style w:type="paragraph" w:styleId="Listenumros2">
    <w:name w:val="List Number 2"/>
    <w:basedOn w:val="Normal"/>
    <w:pPr>
      <w:numPr>
        <w:numId w:val="8"/>
      </w:numPr>
    </w:pPr>
  </w:style>
  <w:style w:type="paragraph" w:styleId="Listenumros3">
    <w:name w:val="List Number 3"/>
    <w:basedOn w:val="Normal"/>
    <w:pPr>
      <w:numPr>
        <w:numId w:val="9"/>
      </w:numPr>
    </w:pPr>
  </w:style>
  <w:style w:type="paragraph" w:styleId="Listenumros4">
    <w:name w:val="List Number 4"/>
    <w:basedOn w:val="Normal"/>
    <w:pPr>
      <w:numPr>
        <w:numId w:val="10"/>
      </w:numPr>
    </w:pPr>
  </w:style>
  <w:style w:type="paragraph" w:styleId="Listenumros5">
    <w:name w:val="List Number 5"/>
    <w:basedOn w:val="Normal"/>
    <w:pPr>
      <w:numPr>
        <w:numId w:val="11"/>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252"/>
    </w:pPr>
  </w:style>
  <w:style w:type="paragraph" w:styleId="Sous-titre">
    <w:name w:val="Subtitle"/>
    <w:basedOn w:val="Normal"/>
    <w:qFormat/>
    <w:pPr>
      <w:spacing w:after="60"/>
      <w:jc w:val="center"/>
      <w:outlineLvl w:val="1"/>
    </w:pPr>
    <w:rPr>
      <w:rFonts w:ascii="Arial" w:hAnsi="Arial" w:cs="Arial"/>
      <w:szCs w:val="24"/>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pPr>
      <w:ind w:left="480" w:hanging="480"/>
    </w:pPr>
  </w:style>
  <w:style w:type="paragraph" w:styleId="Titre">
    <w:name w:val="Title"/>
    <w:basedOn w:val="Normal"/>
    <w:qFormat/>
    <w:rsid w:val="00FE1E7B"/>
    <w:pPr>
      <w:spacing w:before="240" w:after="60"/>
      <w:jc w:val="left"/>
      <w:outlineLvl w:val="0"/>
    </w:pPr>
    <w:rPr>
      <w:rFonts w:ascii="Times New Roman" w:hAnsi="Times New Roman"/>
      <w:b/>
      <w:bCs/>
      <w:kern w:val="28"/>
      <w:szCs w:val="24"/>
    </w:rPr>
  </w:style>
  <w:style w:type="paragraph" w:styleId="TitreTR">
    <w:name w:val="toa heading"/>
    <w:basedOn w:val="Normal"/>
    <w:next w:val="Normal"/>
    <w:semiHidden/>
    <w:pPr>
      <w:spacing w:before="120"/>
    </w:pPr>
    <w:rPr>
      <w:rFonts w:ascii="Arial" w:hAnsi="Arial" w:cs="Arial"/>
      <w:b/>
      <w:bCs/>
      <w:szCs w:val="24"/>
    </w:rPr>
  </w:style>
  <w:style w:type="paragraph" w:styleId="TM1">
    <w:name w:val="toc 1"/>
    <w:basedOn w:val="Normal"/>
    <w:next w:val="Normal"/>
    <w:autoRedefine/>
    <w:semiHidden/>
  </w:style>
  <w:style w:type="paragraph" w:styleId="TM2">
    <w:name w:val="toc 2"/>
    <w:basedOn w:val="Normal"/>
    <w:next w:val="Normal"/>
    <w:autoRedefine/>
    <w:semiHidden/>
    <w:pPr>
      <w:ind w:left="240"/>
    </w:p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En-tteCar">
    <w:name w:val="En-tête Car"/>
    <w:link w:val="En-tte"/>
    <w:uiPriority w:val="99"/>
    <w:rsid w:val="00626E86"/>
    <w:rPr>
      <w:rFonts w:ascii="Times" w:hAnsi="Times"/>
      <w:sz w:val="24"/>
      <w:lang w:val="en-GB" w:eastAsia="en-US"/>
    </w:rPr>
  </w:style>
  <w:style w:type="character" w:styleId="Marquedecommentaire">
    <w:name w:val="annotation reference"/>
    <w:uiPriority w:val="99"/>
    <w:rsid w:val="00EF037A"/>
    <w:rPr>
      <w:sz w:val="16"/>
      <w:szCs w:val="16"/>
    </w:rPr>
  </w:style>
  <w:style w:type="paragraph" w:styleId="Objetducommentaire">
    <w:name w:val="annotation subject"/>
    <w:basedOn w:val="Commentaire"/>
    <w:next w:val="Commentaire"/>
    <w:link w:val="ObjetducommentaireCar"/>
    <w:uiPriority w:val="99"/>
    <w:rsid w:val="00EF037A"/>
    <w:rPr>
      <w:b/>
      <w:bCs/>
    </w:rPr>
  </w:style>
  <w:style w:type="character" w:customStyle="1" w:styleId="CommentaireCar">
    <w:name w:val="Commentaire Car"/>
    <w:link w:val="Commentaire"/>
    <w:uiPriority w:val="99"/>
    <w:semiHidden/>
    <w:rsid w:val="00EF037A"/>
    <w:rPr>
      <w:rFonts w:ascii="Times" w:hAnsi="Times"/>
      <w:lang w:eastAsia="en-US"/>
    </w:rPr>
  </w:style>
  <w:style w:type="character" w:customStyle="1" w:styleId="ObjetducommentaireCar">
    <w:name w:val="Objet du commentaire Car"/>
    <w:link w:val="Objetducommentaire"/>
    <w:uiPriority w:val="99"/>
    <w:rsid w:val="00EF037A"/>
    <w:rPr>
      <w:rFonts w:ascii="Times" w:hAnsi="Times"/>
      <w:b/>
      <w:bCs/>
      <w:lang w:eastAsia="en-US"/>
    </w:rPr>
  </w:style>
  <w:style w:type="paragraph" w:styleId="Textedebulles">
    <w:name w:val="Balloon Text"/>
    <w:basedOn w:val="Normal"/>
    <w:link w:val="TextedebullesCar"/>
    <w:rsid w:val="00EF037A"/>
    <w:rPr>
      <w:rFonts w:ascii="Tahoma" w:hAnsi="Tahoma" w:cs="Tahoma"/>
      <w:sz w:val="16"/>
      <w:szCs w:val="16"/>
    </w:rPr>
  </w:style>
  <w:style w:type="character" w:customStyle="1" w:styleId="TextedebullesCar">
    <w:name w:val="Texte de bulles Car"/>
    <w:link w:val="Textedebulles"/>
    <w:rsid w:val="00EF037A"/>
    <w:rPr>
      <w:rFonts w:ascii="Tahoma" w:hAnsi="Tahoma" w:cs="Tahoma"/>
      <w:sz w:val="16"/>
      <w:szCs w:val="16"/>
      <w:lang w:eastAsia="en-US"/>
    </w:rPr>
  </w:style>
  <w:style w:type="character" w:customStyle="1" w:styleId="Titre1Car">
    <w:name w:val="Titre 1 Car"/>
    <w:basedOn w:val="Policepardfaut"/>
    <w:link w:val="Titre1"/>
    <w:rsid w:val="00156B1F"/>
    <w:rPr>
      <w:rFonts w:ascii="Times" w:hAnsi="Times"/>
      <w:b/>
      <w:sz w:val="24"/>
      <w:lang w:val="en-GB" w:eastAsia="en-US"/>
    </w:rPr>
  </w:style>
  <w:style w:type="character" w:customStyle="1" w:styleId="Titre2Car">
    <w:name w:val="Titre 2 Car"/>
    <w:basedOn w:val="Policepardfaut"/>
    <w:link w:val="Titre2"/>
    <w:rsid w:val="00180189"/>
    <w:rPr>
      <w:rFonts w:eastAsia="Times New Roman"/>
      <w:b/>
      <w:sz w:val="24"/>
      <w:lang w:val="en-GB" w:eastAsia="x-none"/>
    </w:rPr>
  </w:style>
  <w:style w:type="paragraph" w:customStyle="1" w:styleId="Abstracttitle">
    <w:name w:val="Abstract title"/>
    <w:basedOn w:val="Normal"/>
    <w:next w:val="Normal"/>
    <w:rsid w:val="004E113E"/>
    <w:pPr>
      <w:suppressAutoHyphens w:val="0"/>
      <w:overflowPunct/>
      <w:autoSpaceDE/>
      <w:autoSpaceDN/>
      <w:adjustRightInd/>
      <w:spacing w:after="240"/>
      <w:jc w:val="center"/>
      <w:textAlignment w:val="auto"/>
    </w:pPr>
    <w:rPr>
      <w:rFonts w:ascii="Times New Roman" w:eastAsia="Malgun Gothic" w:hAnsi="Times New Roman"/>
      <w:b/>
      <w:sz w:val="36"/>
      <w:szCs w:val="36"/>
    </w:rPr>
  </w:style>
  <w:style w:type="paragraph" w:customStyle="1" w:styleId="authors">
    <w:name w:val="authors"/>
    <w:basedOn w:val="Normal"/>
    <w:next w:val="Affiliation"/>
    <w:rsid w:val="004E113E"/>
    <w:pPr>
      <w:suppressAutoHyphens w:val="0"/>
      <w:overflowPunct/>
      <w:autoSpaceDE/>
      <w:autoSpaceDN/>
      <w:adjustRightInd/>
      <w:jc w:val="center"/>
      <w:textAlignment w:val="auto"/>
    </w:pPr>
    <w:rPr>
      <w:rFonts w:ascii="Times New Roman" w:eastAsia="Malgun Gothic" w:hAnsi="Times New Roman"/>
      <w:sz w:val="28"/>
      <w:szCs w:val="28"/>
      <w:lang w:val="nl-NL"/>
    </w:rPr>
  </w:style>
  <w:style w:type="paragraph" w:customStyle="1" w:styleId="Affiliation">
    <w:name w:val="Affiliation"/>
    <w:basedOn w:val="authors"/>
    <w:next w:val="Normal"/>
    <w:rsid w:val="004E113E"/>
    <w:rPr>
      <w:sz w:val="24"/>
    </w:rPr>
  </w:style>
  <w:style w:type="paragraph" w:customStyle="1" w:styleId="Body">
    <w:name w:val="Body"/>
    <w:basedOn w:val="Normal"/>
    <w:rsid w:val="004E113E"/>
    <w:pPr>
      <w:suppressAutoHyphens w:val="0"/>
      <w:overflowPunct/>
      <w:autoSpaceDE/>
      <w:autoSpaceDN/>
      <w:adjustRightInd/>
      <w:ind w:firstLine="567"/>
      <w:textAlignment w:val="auto"/>
    </w:pPr>
    <w:rPr>
      <w:rFonts w:ascii="Times New Roman" w:eastAsia="Malgun Gothic" w:hAnsi="Times New Roman"/>
      <w:szCs w:val="24"/>
    </w:rPr>
  </w:style>
  <w:style w:type="paragraph" w:customStyle="1" w:styleId="Keywords">
    <w:name w:val="Keywords"/>
    <w:basedOn w:val="Normal"/>
    <w:next w:val="Normal"/>
    <w:rsid w:val="004E113E"/>
    <w:pPr>
      <w:suppressAutoHyphens w:val="0"/>
      <w:overflowPunct/>
      <w:autoSpaceDE/>
      <w:autoSpaceDN/>
      <w:adjustRightInd/>
      <w:spacing w:after="240"/>
      <w:jc w:val="center"/>
      <w:textAlignment w:val="auto"/>
    </w:pPr>
    <w:rPr>
      <w:rFonts w:ascii="Times New Roman" w:eastAsia="Malgun Gothic" w:hAnsi="Times New Roman"/>
      <w:szCs w:val="24"/>
    </w:rPr>
  </w:style>
  <w:style w:type="paragraph" w:customStyle="1" w:styleId="References">
    <w:name w:val="References"/>
    <w:basedOn w:val="Normal"/>
    <w:rsid w:val="004E113E"/>
    <w:pPr>
      <w:numPr>
        <w:numId w:val="12"/>
      </w:numPr>
      <w:suppressAutoHyphens w:val="0"/>
      <w:overflowPunct/>
      <w:autoSpaceDE/>
      <w:autoSpaceDN/>
      <w:adjustRightInd/>
      <w:textAlignment w:val="auto"/>
    </w:pPr>
    <w:rPr>
      <w:rFonts w:ascii="Times New Roman" w:eastAsia="Malgun Gothic" w:hAnsi="Times New Roman"/>
      <w:szCs w:val="24"/>
    </w:rPr>
  </w:style>
  <w:style w:type="paragraph" w:customStyle="1" w:styleId="Figure">
    <w:name w:val="Figure"/>
    <w:basedOn w:val="Normal"/>
    <w:next w:val="Body"/>
    <w:rsid w:val="004E113E"/>
    <w:pPr>
      <w:suppressAutoHyphens w:val="0"/>
      <w:overflowPunct/>
      <w:autoSpaceDE/>
      <w:autoSpaceDN/>
      <w:adjustRightInd/>
      <w:jc w:val="center"/>
      <w:textAlignment w:val="auto"/>
    </w:pPr>
    <w:rPr>
      <w:rFonts w:ascii="Times New Roman" w:eastAsia="Malgun Gothic" w:hAnsi="Times New Roman"/>
      <w:sz w:val="20"/>
      <w:szCs w:val="24"/>
    </w:rPr>
  </w:style>
  <w:style w:type="paragraph" w:customStyle="1" w:styleId="Acknowledgements">
    <w:name w:val="Acknowledgements"/>
    <w:basedOn w:val="Body"/>
    <w:rsid w:val="004E113E"/>
    <w:pPr>
      <w:ind w:firstLine="0"/>
    </w:pPr>
    <w:rPr>
      <w:sz w:val="22"/>
      <w:szCs w:val="22"/>
    </w:rPr>
  </w:style>
  <w:style w:type="paragraph" w:customStyle="1" w:styleId="Section">
    <w:name w:val="Section"/>
    <w:basedOn w:val="Body"/>
    <w:next w:val="Body"/>
    <w:rsid w:val="004E113E"/>
    <w:pPr>
      <w:numPr>
        <w:numId w:val="13"/>
      </w:numPr>
      <w:spacing w:before="120" w:after="120"/>
      <w:jc w:val="left"/>
    </w:pPr>
    <w:rPr>
      <w:b/>
      <w:sz w:val="28"/>
    </w:rPr>
  </w:style>
  <w:style w:type="character" w:customStyle="1" w:styleId="PieddepageCar">
    <w:name w:val="Pied de page Car"/>
    <w:basedOn w:val="Policepardfaut"/>
    <w:link w:val="Pieddepage"/>
    <w:rsid w:val="004E113E"/>
    <w:rPr>
      <w:rFonts w:ascii="Times" w:hAnsi="Times"/>
      <w:sz w:val="24"/>
      <w:lang w:val="en-GB" w:eastAsia="en-US"/>
    </w:rPr>
  </w:style>
  <w:style w:type="paragraph" w:customStyle="1" w:styleId="ACSi-title">
    <w:name w:val="ACSi-title"/>
    <w:basedOn w:val="Titre2"/>
    <w:rsid w:val="004E113E"/>
    <w:pPr>
      <w:jc w:val="center"/>
    </w:pPr>
    <w:rPr>
      <w:rFonts w:eastAsia="Malgun Gothic"/>
      <w:bCs/>
      <w:i/>
      <w:iCs/>
    </w:rPr>
  </w:style>
  <w:style w:type="paragraph" w:customStyle="1" w:styleId="paragraph">
    <w:name w:val="paragraph"/>
    <w:basedOn w:val="Normal"/>
    <w:rsid w:val="004E113E"/>
    <w:pPr>
      <w:suppressAutoHyphens w:val="0"/>
      <w:overflowPunct/>
      <w:autoSpaceDE/>
      <w:autoSpaceDN/>
      <w:adjustRightInd/>
      <w:spacing w:line="480" w:lineRule="auto"/>
      <w:ind w:firstLine="720"/>
      <w:textAlignment w:val="auto"/>
    </w:pPr>
    <w:rPr>
      <w:rFonts w:ascii="Times New Roman" w:eastAsia="Malgun Gothic" w:hAnsi="Times New Roman"/>
      <w:color w:val="000000"/>
      <w:sz w:val="20"/>
      <w:lang w:eastAsia="fr-FR"/>
    </w:rPr>
  </w:style>
  <w:style w:type="paragraph" w:customStyle="1" w:styleId="Equation">
    <w:name w:val="Equation"/>
    <w:basedOn w:val="Normal"/>
    <w:rsid w:val="004E113E"/>
    <w:pPr>
      <w:tabs>
        <w:tab w:val="center" w:pos="4536"/>
        <w:tab w:val="right" w:pos="9072"/>
      </w:tabs>
      <w:suppressAutoHyphens w:val="0"/>
      <w:spacing w:before="120" w:line="480" w:lineRule="auto"/>
    </w:pPr>
    <w:rPr>
      <w:rFonts w:ascii="Times New Roman" w:eastAsia="Malgun Gothic" w:hAnsi="Times New Roman"/>
      <w:sz w:val="22"/>
      <w:lang w:eastAsia="zh-CN"/>
    </w:rPr>
  </w:style>
  <w:style w:type="paragraph" w:styleId="Paragraphedeliste">
    <w:name w:val="List Paragraph"/>
    <w:basedOn w:val="Normal"/>
    <w:uiPriority w:val="34"/>
    <w:qFormat/>
    <w:rsid w:val="004E113E"/>
    <w:pPr>
      <w:suppressAutoHyphens w:val="0"/>
      <w:overflowPunct/>
      <w:autoSpaceDE/>
      <w:autoSpaceDN/>
      <w:adjustRightInd/>
      <w:ind w:left="708"/>
      <w:jc w:val="left"/>
      <w:textAlignment w:val="auto"/>
    </w:pPr>
    <w:rPr>
      <w:rFonts w:ascii="Times New Roman" w:eastAsia="Malgun Gothic" w:hAnsi="Times New Roman"/>
      <w:szCs w:val="24"/>
    </w:rPr>
  </w:style>
  <w:style w:type="table" w:styleId="Grilledutableau">
    <w:name w:val="Table Grid"/>
    <w:basedOn w:val="TableauNormal"/>
    <w:uiPriority w:val="39"/>
    <w:rsid w:val="004E113E"/>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E457F"/>
    <w:rPr>
      <w:rFonts w:ascii="Times" w:hAnsi="Time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st3m.cea.fr"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w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6165B-88BB-47A4-8B11-C76AF5352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5716</Words>
  <Characters>30477</Characters>
  <Application>Microsoft Office Word</Application>
  <DocSecurity>0</DocSecurity>
  <Lines>253</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36121</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FEAU Cyril</cp:lastModifiedBy>
  <cp:revision>4</cp:revision>
  <cp:lastPrinted>2018-02-05T16:04:00Z</cp:lastPrinted>
  <dcterms:created xsi:type="dcterms:W3CDTF">2018-02-12T15:06:00Z</dcterms:created>
  <dcterms:modified xsi:type="dcterms:W3CDTF">2018-02-12T15:09:00Z</dcterms:modified>
</cp:coreProperties>
</file>