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986" w:rsidRPr="006F7986" w:rsidRDefault="006C3897" w:rsidP="006F7986">
      <w:pPr>
        <w:pStyle w:val="1"/>
        <w:jc w:val="center"/>
        <w:rPr>
          <w:rFonts w:ascii="Times New Roman" w:hAnsi="Times New Roman" w:cs="Times New Roman"/>
          <w:sz w:val="28"/>
          <w:szCs w:val="28"/>
        </w:rPr>
      </w:pPr>
      <w:r>
        <w:rPr>
          <w:rFonts w:ascii="Times New Roman" w:hAnsi="Times New Roman" w:cs="Times New Roman"/>
          <w:sz w:val="28"/>
          <w:szCs w:val="28"/>
        </w:rPr>
        <w:t>CURRENT STATUS AND ISSUES OF STRONG-MOTION PREDICTION METHOD IN SEISMIC HAZARD ASSESSMENT FOR THE NATIONAL SEISMIC HAZARD MAPS FOR JAPAN</w:t>
      </w:r>
    </w:p>
    <w:p w:rsidR="00A8604F" w:rsidRPr="006F7986" w:rsidRDefault="00A8604F" w:rsidP="006F7986">
      <w:pPr>
        <w:jc w:val="center"/>
        <w:rPr>
          <w:rFonts w:ascii="Times New Roman" w:hAnsi="Times New Roman"/>
        </w:rPr>
      </w:pPr>
    </w:p>
    <w:p w:rsidR="00A8604F" w:rsidRPr="00733FE4" w:rsidRDefault="006C3897">
      <w:pPr>
        <w:rPr>
          <w:rFonts w:ascii="Times New Roman" w:hAnsi="Times New Roman"/>
        </w:rPr>
      </w:pPr>
      <w:r>
        <w:rPr>
          <w:rFonts w:ascii="Times New Roman" w:hAnsi="Times New Roman"/>
        </w:rPr>
        <w:t>H</w:t>
      </w:r>
      <w:r w:rsidR="004C57A4">
        <w:rPr>
          <w:rFonts w:ascii="Times New Roman" w:hAnsi="Times New Roman" w:hint="eastAsia"/>
          <w:lang w:eastAsia="ja-JP"/>
        </w:rPr>
        <w:t>i</w:t>
      </w:r>
      <w:r w:rsidR="004C57A4">
        <w:rPr>
          <w:rFonts w:ascii="Times New Roman" w:hAnsi="Times New Roman"/>
          <w:lang w:eastAsia="ja-JP"/>
        </w:rPr>
        <w:t>royuki</w:t>
      </w:r>
      <w:r w:rsidR="00EF037A" w:rsidRPr="00733FE4">
        <w:rPr>
          <w:rFonts w:ascii="Times New Roman" w:hAnsi="Times New Roman"/>
        </w:rPr>
        <w:t xml:space="preserve"> </w:t>
      </w:r>
      <w:r>
        <w:rPr>
          <w:rFonts w:ascii="Times New Roman" w:hAnsi="Times New Roman"/>
        </w:rPr>
        <w:t>FUJIWARA</w:t>
      </w:r>
      <w:r w:rsidR="00EF037A" w:rsidRPr="00733FE4">
        <w:rPr>
          <w:rFonts w:ascii="Times New Roman" w:hAnsi="Times New Roman"/>
          <w:vertAlign w:val="superscript"/>
        </w:rPr>
        <w:t>1</w:t>
      </w:r>
      <w:r>
        <w:rPr>
          <w:rFonts w:ascii="Times New Roman" w:hAnsi="Times New Roman"/>
        </w:rPr>
        <w:t xml:space="preserve"> and</w:t>
      </w:r>
      <w:r w:rsidR="00EF037A" w:rsidRPr="00733FE4">
        <w:rPr>
          <w:rFonts w:ascii="Times New Roman" w:hAnsi="Times New Roman"/>
        </w:rPr>
        <w:t xml:space="preserve"> </w:t>
      </w:r>
      <w:r>
        <w:rPr>
          <w:rFonts w:ascii="Times New Roman" w:hAnsi="Times New Roman"/>
        </w:rPr>
        <w:t>N</w:t>
      </w:r>
      <w:r w:rsidR="004C57A4">
        <w:rPr>
          <w:rFonts w:ascii="Times New Roman" w:hAnsi="Times New Roman"/>
        </w:rPr>
        <w:t>obuyuki</w:t>
      </w:r>
      <w:r w:rsidR="00EF037A" w:rsidRPr="00733FE4">
        <w:rPr>
          <w:rFonts w:ascii="Times New Roman" w:hAnsi="Times New Roman"/>
        </w:rPr>
        <w:t xml:space="preserve"> </w:t>
      </w:r>
      <w:r>
        <w:rPr>
          <w:rFonts w:ascii="Times New Roman" w:hAnsi="Times New Roman"/>
        </w:rPr>
        <w:t>MORIKAWA</w:t>
      </w:r>
      <w:r w:rsidR="00EF037A" w:rsidRPr="00733FE4">
        <w:rPr>
          <w:rFonts w:ascii="Times New Roman" w:hAnsi="Times New Roman"/>
          <w:vertAlign w:val="superscript"/>
        </w:rPr>
        <w:t>1</w:t>
      </w:r>
    </w:p>
    <w:p w:rsidR="00A8604F" w:rsidRPr="00733FE4" w:rsidRDefault="00A8604F">
      <w:pPr>
        <w:rPr>
          <w:rFonts w:ascii="Times New Roman" w:hAnsi="Times New Roman"/>
        </w:rPr>
      </w:pPr>
    </w:p>
    <w:p w:rsidR="005026D8" w:rsidRDefault="005026D8">
      <w:pPr>
        <w:rPr>
          <w:rFonts w:ascii="Times New Roman" w:hAnsi="Times New Roman"/>
          <w:lang w:val="en-US"/>
        </w:rPr>
      </w:pPr>
      <w:r w:rsidRPr="004C3FC9">
        <w:rPr>
          <w:rFonts w:ascii="Times New Roman" w:hAnsi="Times New Roman"/>
          <w:vertAlign w:val="superscript"/>
          <w:lang w:val="en-US"/>
        </w:rPr>
        <w:t>1</w:t>
      </w:r>
      <w:r w:rsidR="006C3897">
        <w:rPr>
          <w:rFonts w:ascii="Times New Roman" w:hAnsi="Times New Roman"/>
          <w:lang w:val="en-US"/>
        </w:rPr>
        <w:t>National Research Institute for Earth Science and Disaster Resilience</w:t>
      </w:r>
      <w:r>
        <w:rPr>
          <w:rFonts w:ascii="Times New Roman" w:hAnsi="Times New Roman"/>
          <w:lang w:val="en-US"/>
        </w:rPr>
        <w:t xml:space="preserve"> </w:t>
      </w:r>
      <w:r w:rsidR="006C3897">
        <w:rPr>
          <w:rFonts w:ascii="Times New Roman" w:hAnsi="Times New Roman"/>
          <w:lang w:val="en-US"/>
        </w:rPr>
        <w:t>(N</w:t>
      </w:r>
      <w:r>
        <w:rPr>
          <w:rFonts w:ascii="Times New Roman" w:hAnsi="Times New Roman"/>
          <w:lang w:val="en-US"/>
        </w:rPr>
        <w:t>I</w:t>
      </w:r>
      <w:r w:rsidR="006C3897">
        <w:rPr>
          <w:rFonts w:ascii="Times New Roman" w:hAnsi="Times New Roman"/>
          <w:lang w:val="en-US"/>
        </w:rPr>
        <w:t>ED</w:t>
      </w:r>
      <w:r>
        <w:rPr>
          <w:rFonts w:ascii="Times New Roman" w:hAnsi="Times New Roman"/>
          <w:lang w:val="en-US"/>
        </w:rPr>
        <w:t xml:space="preserve">), </w:t>
      </w:r>
      <w:r w:rsidR="006C3897">
        <w:rPr>
          <w:rFonts w:ascii="Times New Roman" w:hAnsi="Times New Roman"/>
          <w:lang w:val="en-US"/>
        </w:rPr>
        <w:t>Tsukuba</w:t>
      </w:r>
      <w:r>
        <w:rPr>
          <w:rFonts w:ascii="Times New Roman" w:hAnsi="Times New Roman"/>
          <w:lang w:val="en-US"/>
        </w:rPr>
        <w:t xml:space="preserve">, </w:t>
      </w:r>
      <w:r w:rsidR="006C3897">
        <w:rPr>
          <w:rFonts w:ascii="Times New Roman" w:hAnsi="Times New Roman"/>
          <w:lang w:val="en-US"/>
        </w:rPr>
        <w:t>Japan</w:t>
      </w:r>
    </w:p>
    <w:p w:rsidR="00A8604F" w:rsidRDefault="00A8604F">
      <w:pPr>
        <w:rPr>
          <w:rFonts w:ascii="Times New Roman" w:hAnsi="Times New Roman"/>
          <w:lang w:val="en-US"/>
        </w:rPr>
      </w:pPr>
    </w:p>
    <w:p w:rsidR="00A8604F" w:rsidRDefault="007C09EE">
      <w:pPr>
        <w:rPr>
          <w:lang w:val="en-US"/>
        </w:rPr>
      </w:pPr>
      <w:r w:rsidRPr="004C3FC9">
        <w:rPr>
          <w:rFonts w:ascii="Times New Roman" w:hAnsi="Times New Roman"/>
          <w:i/>
          <w:lang w:val="en-US"/>
        </w:rPr>
        <w:t>E</w:t>
      </w:r>
      <w:r w:rsidR="00A8604F" w:rsidRPr="004C3FC9">
        <w:rPr>
          <w:rFonts w:ascii="Times New Roman" w:hAnsi="Times New Roman"/>
          <w:i/>
          <w:lang w:val="en-US"/>
        </w:rPr>
        <w:t xml:space="preserve">-mail contact of main author: </w:t>
      </w:r>
      <w:r w:rsidR="006C3897">
        <w:rPr>
          <w:rFonts w:ascii="Times New Roman" w:hAnsi="Times New Roman" w:hint="eastAsia"/>
          <w:i/>
          <w:lang w:val="en-US" w:eastAsia="ja-JP"/>
        </w:rPr>
        <w:t>fujiwara</w:t>
      </w:r>
      <w:r w:rsidR="008955CD">
        <w:rPr>
          <w:rFonts w:ascii="Times New Roman" w:hAnsi="Times New Roman"/>
          <w:i/>
          <w:lang w:val="en-US"/>
        </w:rPr>
        <w:t>@</w:t>
      </w:r>
      <w:r w:rsidR="006C3897">
        <w:rPr>
          <w:rFonts w:ascii="Times New Roman" w:hAnsi="Times New Roman"/>
          <w:i/>
          <w:lang w:val="en-US"/>
        </w:rPr>
        <w:t>bosai</w:t>
      </w:r>
      <w:r w:rsidR="008955CD">
        <w:rPr>
          <w:rFonts w:ascii="Times New Roman" w:hAnsi="Times New Roman"/>
          <w:i/>
          <w:lang w:val="en-US"/>
        </w:rPr>
        <w:t>.</w:t>
      </w:r>
      <w:r w:rsidR="006C3897">
        <w:rPr>
          <w:rFonts w:ascii="Times New Roman" w:hAnsi="Times New Roman"/>
          <w:i/>
          <w:lang w:val="en-US"/>
        </w:rPr>
        <w:t>g</w:t>
      </w:r>
      <w:r w:rsidR="008955CD">
        <w:rPr>
          <w:rFonts w:ascii="Times New Roman" w:hAnsi="Times New Roman"/>
          <w:i/>
          <w:lang w:val="en-US"/>
        </w:rPr>
        <w:t>o</w:t>
      </w:r>
      <w:r w:rsidR="006C3897">
        <w:rPr>
          <w:rFonts w:ascii="Times New Roman" w:hAnsi="Times New Roman"/>
          <w:i/>
          <w:lang w:val="en-US"/>
        </w:rPr>
        <w:t>.jp</w:t>
      </w:r>
    </w:p>
    <w:p w:rsidR="008955CD" w:rsidRDefault="008955CD">
      <w:pPr>
        <w:pStyle w:val="Textkrper"/>
        <w:rPr>
          <w:rFonts w:ascii="Times New Roman" w:hAnsi="Times New Roman"/>
          <w:b/>
          <w:lang w:val="en-US"/>
        </w:rPr>
      </w:pPr>
    </w:p>
    <w:p w:rsidR="00DF14FD" w:rsidRPr="006635E9" w:rsidRDefault="00A8604F" w:rsidP="00DF14FD">
      <w:pPr>
        <w:pStyle w:val="Abstract"/>
        <w:rPr>
          <w:sz w:val="20"/>
          <w:szCs w:val="20"/>
        </w:rPr>
      </w:pPr>
      <w:r>
        <w:rPr>
          <w:b/>
        </w:rPr>
        <w:t>Abstract</w:t>
      </w:r>
      <w:r>
        <w:t xml:space="preserve">. </w:t>
      </w:r>
      <w:r w:rsidR="006C3897" w:rsidRPr="006C3897">
        <w:rPr>
          <w:sz w:val="20"/>
          <w:szCs w:val="20"/>
        </w:rPr>
        <w:t>We have been conducting seismic hazard assessment for Japan under the guidance of the Headquarters for Earthquake Research Promotion of Japan (HERP) since the 1995 Hyogo-ken Nanbu Earthquake, and have made the national seismic hazard maps for Japan. The national seismic hazard maps for Japan are prepared to estimate strong-motion caused by earthquakes that could occur in Japan in the future and show the estimated results on the maps. The hazard maps consist of two kinds of maps. One is a probabilistic seismic hazard map that shows the relation between seismic intensity value and its probability of exceedance within a certain time period. The other one is a scenario earthquake shaking map. The 2011 Great East Japan Earthquake (Mw 9.0) was the largest event in the history of Japan. This mega-thrust earthquake was not considered in the national seismic hazard maps for Japan. The 2016 Kumamoto earthquake sequence occurred on active faults where strong-motion evaluation was executed based on the long-term evaluation and strong-motion prediction method ‘Recipe’ by HERP. Based on lessons learned from these earthquake disasters, efforts to revise the seismic hazard assessment for Japan are progressing. We, as project staffs of the NIED, consider problems and issues to be resolved for seismic hazard assessment and make some proposals to improve seismic hazard assessment.</w:t>
      </w:r>
      <w:r w:rsidR="00DF14FD" w:rsidRPr="006635E9">
        <w:rPr>
          <w:sz w:val="20"/>
          <w:szCs w:val="20"/>
        </w:rPr>
        <w:t xml:space="preserve"> </w:t>
      </w:r>
    </w:p>
    <w:p w:rsidR="00DF14FD" w:rsidRPr="006635E9" w:rsidRDefault="00DF14FD" w:rsidP="00DF14FD">
      <w:pPr>
        <w:pStyle w:val="Textkrper"/>
        <w:rPr>
          <w:rFonts w:ascii="Times New Roman" w:hAnsi="Times New Roman"/>
          <w:lang w:val="en-US"/>
        </w:rPr>
      </w:pPr>
      <w:r w:rsidRPr="006635E9">
        <w:rPr>
          <w:rFonts w:ascii="Times New Roman" w:hAnsi="Times New Roman"/>
          <w:b/>
          <w:lang w:val="en-US"/>
        </w:rPr>
        <w:t>Key Words</w:t>
      </w:r>
      <w:r w:rsidRPr="006635E9">
        <w:rPr>
          <w:rFonts w:ascii="Times New Roman" w:hAnsi="Times New Roman"/>
          <w:lang w:val="en-US"/>
        </w:rPr>
        <w:t xml:space="preserve">: </w:t>
      </w:r>
      <w:r w:rsidR="004C57A4" w:rsidRPr="004C57A4">
        <w:rPr>
          <w:rFonts w:ascii="Times New Roman" w:hAnsi="Times New Roman"/>
          <w:lang w:val="en-US"/>
        </w:rPr>
        <w:t>seismic hazard, strong-motion, Kumamoto earthquake</w:t>
      </w:r>
    </w:p>
    <w:p w:rsidR="00A8265F" w:rsidRDefault="00A8265F">
      <w:pPr>
        <w:pStyle w:val="Textkrper"/>
        <w:rPr>
          <w:sz w:val="24"/>
          <w:lang w:val="en-US"/>
        </w:rPr>
      </w:pPr>
    </w:p>
    <w:p w:rsidR="00A8604F" w:rsidRPr="004C57A4" w:rsidRDefault="004C57A4" w:rsidP="00487E6D">
      <w:pPr>
        <w:pStyle w:val="31"/>
        <w:rPr>
          <w:lang w:val="en-US"/>
        </w:rPr>
      </w:pPr>
      <w:r w:rsidRPr="004C57A4">
        <w:rPr>
          <w:rFonts w:hint="eastAsia"/>
          <w:lang w:val="en-US" w:eastAsia="ja-JP"/>
        </w:rPr>
        <w:t>I</w:t>
      </w:r>
      <w:r w:rsidRPr="004C57A4">
        <w:rPr>
          <w:lang w:val="en-US" w:eastAsia="ja-JP"/>
        </w:rPr>
        <w:t>ntroduction</w:t>
      </w:r>
    </w:p>
    <w:p w:rsidR="00A25092" w:rsidRPr="00A25092" w:rsidRDefault="00A25092" w:rsidP="00A25092">
      <w:pPr>
        <w:pStyle w:val="Textkrper"/>
        <w:spacing w:before="120"/>
        <w:rPr>
          <w:sz w:val="24"/>
          <w:szCs w:val="24"/>
        </w:rPr>
      </w:pPr>
      <w:r w:rsidRPr="00A25092">
        <w:rPr>
          <w:sz w:val="24"/>
          <w:szCs w:val="24"/>
        </w:rPr>
        <w:t xml:space="preserve">The National Seismic Hazard Maps for Japan are prepared to estimate strong ground motions caused by earthquakes that could occur in Japan in the future and show the estimated results on the maps. The hazard maps consist of two kinds of maps. One is a probabilistic seismic hazard map that shows the relation between seismic intensity value and its probability of exceedance within a certain time period. The other one is a scenario earthquake shaking map. </w:t>
      </w:r>
    </w:p>
    <w:p w:rsidR="00A25092" w:rsidRPr="00A25092" w:rsidRDefault="00A25092" w:rsidP="00A25092">
      <w:pPr>
        <w:pStyle w:val="Textkrper"/>
        <w:spacing w:before="120"/>
        <w:rPr>
          <w:sz w:val="24"/>
          <w:szCs w:val="24"/>
        </w:rPr>
      </w:pPr>
      <w:r w:rsidRPr="00A25092">
        <w:rPr>
          <w:sz w:val="24"/>
          <w:szCs w:val="24"/>
        </w:rPr>
        <w:t xml:space="preserve">The examples of probabilistic seismic hazard maps are maps of probabilities that JMA seismic intensity exceeds 5-, 5+, 6- and 6+ in 30 or 50 years, and maps of the JMA seismic intensity corresponding to the exceedance probability of 3% and 6% in 30 years and of 2%, 5%, 10% and 39% in 50 years. We classify earthquakes in and around Japan into three categories such as the characteristic subduction zone earthquakes, other subduction zone earthquakes, and crustal earthquakes. Probabilistic seismic hazard maps for three earthquake category are also evaluated. For the probabilistic seismic hazard maps, we use empirical attenuation relation for strong-motion prediction, which is followed the seismic activity modeling in the basis of long-term evaluation of seismic activity by the Earthquake Research Committee. Both of peak velocities on the engineering bedrock and on ground surface are evaluated for sites with approximately 0.25km spacing in the basis of the 7.5-arc-second engineering geomorphologic </w:t>
      </w:r>
      <w:r w:rsidRPr="00A25092">
        <w:rPr>
          <w:sz w:val="24"/>
          <w:szCs w:val="24"/>
        </w:rPr>
        <w:lastRenderedPageBreak/>
        <w:t xml:space="preserve">classification database. The Japan Meteorological Agency (JMA) seismic intensities on ground surface are evaluated from peak ground velocity by using an empirical formula. </w:t>
      </w:r>
    </w:p>
    <w:p w:rsidR="00DF14FD" w:rsidRDefault="00A25092" w:rsidP="00A25092">
      <w:pPr>
        <w:pStyle w:val="Textkrper"/>
        <w:spacing w:before="120"/>
        <w:rPr>
          <w:sz w:val="24"/>
          <w:szCs w:val="24"/>
        </w:rPr>
      </w:pPr>
      <w:r w:rsidRPr="00A25092">
        <w:rPr>
          <w:sz w:val="24"/>
          <w:szCs w:val="24"/>
        </w:rPr>
        <w:t>The scenario earthquake shaking maps are evaluated for approximately 500 scenario earthquakes of all major active faults in Japan. Selection of a specified scenario is essential to make a scenario earthquake shake map. The basic policy of the selection is that we choose the most probable case. We assume several cases of the characteristic source model and compare the results of them to show deviation of strong-motion evaluation due to uncertainties. For the scenario earthquake shaking maps, based on the source modeling for strong-motion evaluation we adopt a hybrid method to simulate waveforms on the engineering bedrock and peak ground velocity. The hybrid method aims to evaluate strong motions in a broadband frequency range and is a combination of a deterministic approach using numerical simulation methods, such as the finite difference method, for low frequency range and a stochastic approach using the empirical or stochastic Green’s function method for high frequency range. A lot of parameters on source characterization and modeling of underground structure are required for the hybrid method. The standardization of the setting parameters for the hybrid method has been studied. Under guidance of the Earthquake Research Committee, we have summarized the technical details on the hybrid method based on the ‘Recipe for strong-motion evaluation’, which are published by the Earthquake Research Committee</w:t>
      </w:r>
      <w:r w:rsidR="00351F9F" w:rsidRPr="00043E25">
        <w:rPr>
          <w:sz w:val="24"/>
          <w:szCs w:val="24"/>
        </w:rPr>
        <w:t xml:space="preserve"> [1], [2]</w:t>
      </w:r>
      <w:r w:rsidRPr="00A25092">
        <w:rPr>
          <w:sz w:val="24"/>
          <w:szCs w:val="24"/>
        </w:rPr>
        <w:t>.</w:t>
      </w:r>
      <w:r w:rsidR="00DF14FD" w:rsidRPr="00A25092">
        <w:rPr>
          <w:sz w:val="24"/>
          <w:szCs w:val="24"/>
        </w:rPr>
        <w:t xml:space="preserve"> </w:t>
      </w:r>
    </w:p>
    <w:p w:rsidR="00A25092" w:rsidRPr="00A25092" w:rsidRDefault="00A25092" w:rsidP="00A25092">
      <w:pPr>
        <w:pStyle w:val="Textkrper"/>
        <w:spacing w:before="120"/>
        <w:rPr>
          <w:sz w:val="24"/>
          <w:szCs w:val="24"/>
        </w:rPr>
      </w:pPr>
      <w:r w:rsidRPr="00A25092">
        <w:rPr>
          <w:sz w:val="24"/>
          <w:szCs w:val="24"/>
        </w:rPr>
        <w:t xml:space="preserve">In order to contribute to preparation of seismic hazard maps, the National Research Institute for Earth Science and Disaster </w:t>
      </w:r>
      <w:r w:rsidR="00043E25" w:rsidRPr="00043E25">
        <w:rPr>
          <w:sz w:val="24"/>
          <w:szCs w:val="24"/>
        </w:rPr>
        <w:t>Resilience</w:t>
      </w:r>
      <w:r w:rsidRPr="00A25092">
        <w:rPr>
          <w:sz w:val="24"/>
          <w:szCs w:val="24"/>
        </w:rPr>
        <w:t xml:space="preserve"> (NIED) launched a special project called the "National Seismic Hazard Mapping Project of Japan" in April 2001, and has made technical studies that contribute to preparation of seismic hazard maps, and has prepared maps. In NIED's second five-year period as well, it has implemented research that contributes to advancement of seismic hazard maps through research called "Strong Motion Prediction and Seismic Hazard Evaluation" (FY2006-FY2007) and the "Research Project on the Disaster Risk Information Platform" (FY2008-</w:t>
      </w:r>
      <w:r w:rsidR="00043E25">
        <w:rPr>
          <w:sz w:val="24"/>
          <w:szCs w:val="24"/>
        </w:rPr>
        <w:t>FY</w:t>
      </w:r>
      <w:r w:rsidR="00685CEF">
        <w:rPr>
          <w:sz w:val="24"/>
          <w:szCs w:val="24"/>
        </w:rPr>
        <w:t>20</w:t>
      </w:r>
      <w:r w:rsidR="00043E25">
        <w:rPr>
          <w:sz w:val="24"/>
          <w:szCs w:val="24"/>
        </w:rPr>
        <w:t>12</w:t>
      </w:r>
      <w:r w:rsidRPr="00A25092">
        <w:rPr>
          <w:sz w:val="24"/>
          <w:szCs w:val="24"/>
        </w:rPr>
        <w:t xml:space="preserve">). </w:t>
      </w:r>
    </w:p>
    <w:p w:rsidR="00A25092" w:rsidRDefault="00A25092" w:rsidP="00A25092">
      <w:pPr>
        <w:pStyle w:val="Textkrper"/>
        <w:spacing w:before="120"/>
        <w:rPr>
          <w:sz w:val="24"/>
          <w:szCs w:val="24"/>
          <w:lang w:eastAsia="ja-JP"/>
        </w:rPr>
      </w:pPr>
      <w:r w:rsidRPr="00A25092">
        <w:rPr>
          <w:sz w:val="24"/>
          <w:szCs w:val="24"/>
        </w:rPr>
        <w:t>March 11, 2011, we had the Great East Japan earthquake disaster caused by the 2011 Tohoku Earthquake. Responding to the 2011 Tohoku Earthquake, efforts are being made on improvement of the National Seismic Hazard Maps for Japan. We, as project staffs of the NIED, consider problems and issues to be resolved for seismic hazard assessment and make new proposals to improve probabilistic seismic hazard assessment for Japa</w:t>
      </w:r>
      <w:r w:rsidRPr="00043E25">
        <w:rPr>
          <w:sz w:val="24"/>
          <w:szCs w:val="24"/>
        </w:rPr>
        <w:t>n</w:t>
      </w:r>
      <w:r w:rsidR="00351F9F" w:rsidRPr="00043E25">
        <w:rPr>
          <w:sz w:val="24"/>
          <w:szCs w:val="24"/>
        </w:rPr>
        <w:t xml:space="preserve"> [3]</w:t>
      </w:r>
      <w:r w:rsidRPr="00A25092">
        <w:rPr>
          <w:sz w:val="24"/>
          <w:szCs w:val="24"/>
        </w:rPr>
        <w:t>, based on the lessons learned from this earthquake disaster and experiences that we have engaged in the seismic hazard mapping projec</w:t>
      </w:r>
      <w:r>
        <w:rPr>
          <w:sz w:val="24"/>
          <w:szCs w:val="24"/>
        </w:rPr>
        <w:t>t of Japan</w:t>
      </w:r>
      <w:r>
        <w:rPr>
          <w:rFonts w:hint="eastAsia"/>
          <w:sz w:val="24"/>
          <w:szCs w:val="24"/>
          <w:lang w:eastAsia="ja-JP"/>
        </w:rPr>
        <w:t>.</w:t>
      </w:r>
      <w:r>
        <w:rPr>
          <w:sz w:val="24"/>
          <w:szCs w:val="24"/>
          <w:lang w:eastAsia="ja-JP"/>
        </w:rPr>
        <w:t xml:space="preserve"> </w:t>
      </w:r>
      <w:r w:rsidR="00351F9F" w:rsidRPr="00351F9F">
        <w:rPr>
          <w:sz w:val="24"/>
          <w:szCs w:val="24"/>
          <w:lang w:eastAsia="ja-JP"/>
        </w:rPr>
        <w:t xml:space="preserve">Based on the lessons learned from the Great East Japan Earthquake, the improved version </w:t>
      </w:r>
      <w:r w:rsidR="00351F9F">
        <w:rPr>
          <w:sz w:val="24"/>
          <w:szCs w:val="24"/>
          <w:lang w:eastAsia="ja-JP"/>
        </w:rPr>
        <w:t>of the National Seismic Hazard Maps for Japan</w:t>
      </w:r>
      <w:r w:rsidR="00A944D2">
        <w:rPr>
          <w:sz w:val="24"/>
          <w:szCs w:val="24"/>
          <w:lang w:eastAsia="ja-JP"/>
        </w:rPr>
        <w:t xml:space="preserve"> </w:t>
      </w:r>
      <w:r w:rsidR="00351F9F" w:rsidRPr="00351F9F">
        <w:rPr>
          <w:sz w:val="24"/>
          <w:szCs w:val="24"/>
          <w:lang w:eastAsia="ja-JP"/>
        </w:rPr>
        <w:t xml:space="preserve">was released by the </w:t>
      </w:r>
      <w:r w:rsidR="00A944D2" w:rsidRPr="00A944D2">
        <w:rPr>
          <w:sz w:val="24"/>
          <w:szCs w:val="24"/>
          <w:lang w:eastAsia="ja-JP"/>
        </w:rPr>
        <w:t>Headquarters</w:t>
      </w:r>
      <w:r w:rsidR="00A944D2">
        <w:rPr>
          <w:sz w:val="24"/>
          <w:szCs w:val="24"/>
          <w:lang w:eastAsia="ja-JP"/>
        </w:rPr>
        <w:t xml:space="preserve"> for </w:t>
      </w:r>
      <w:r w:rsidR="00351F9F" w:rsidRPr="00351F9F">
        <w:rPr>
          <w:sz w:val="24"/>
          <w:szCs w:val="24"/>
          <w:lang w:eastAsia="ja-JP"/>
        </w:rPr>
        <w:t>Earthquake Research Promotion</w:t>
      </w:r>
      <w:r w:rsidR="00A944D2">
        <w:rPr>
          <w:sz w:val="24"/>
          <w:szCs w:val="24"/>
          <w:lang w:eastAsia="ja-JP"/>
        </w:rPr>
        <w:t xml:space="preserve"> in 2014</w:t>
      </w:r>
      <w:r w:rsidR="00351F9F" w:rsidRPr="00351F9F">
        <w:rPr>
          <w:sz w:val="24"/>
          <w:szCs w:val="24"/>
          <w:lang w:eastAsia="ja-JP"/>
        </w:rPr>
        <w:t xml:space="preserve"> and the </w:t>
      </w:r>
      <w:r w:rsidR="00A944D2">
        <w:rPr>
          <w:sz w:val="24"/>
          <w:szCs w:val="24"/>
          <w:lang w:eastAsia="ja-JP"/>
        </w:rPr>
        <w:t xml:space="preserve">hazard </w:t>
      </w:r>
      <w:r w:rsidR="00351F9F" w:rsidRPr="00351F9F">
        <w:rPr>
          <w:sz w:val="24"/>
          <w:szCs w:val="24"/>
          <w:lang w:eastAsia="ja-JP"/>
        </w:rPr>
        <w:t>maps are updated every year after that</w:t>
      </w:r>
      <w:r w:rsidR="00A944D2">
        <w:rPr>
          <w:sz w:val="24"/>
          <w:szCs w:val="24"/>
          <w:lang w:eastAsia="ja-JP"/>
        </w:rPr>
        <w:t xml:space="preserve"> </w:t>
      </w:r>
      <w:r w:rsidR="00A944D2" w:rsidRPr="00043E25">
        <w:rPr>
          <w:sz w:val="24"/>
          <w:szCs w:val="24"/>
          <w:lang w:eastAsia="ja-JP"/>
        </w:rPr>
        <w:t>[4], [5]</w:t>
      </w:r>
      <w:r w:rsidR="00351F9F" w:rsidRPr="00043E25">
        <w:rPr>
          <w:sz w:val="24"/>
          <w:szCs w:val="24"/>
          <w:lang w:eastAsia="ja-JP"/>
        </w:rPr>
        <w:t>.</w:t>
      </w:r>
      <w:r w:rsidR="00A944D2">
        <w:rPr>
          <w:sz w:val="24"/>
          <w:szCs w:val="24"/>
          <w:lang w:eastAsia="ja-JP"/>
        </w:rPr>
        <w:t xml:space="preserve"> </w:t>
      </w:r>
    </w:p>
    <w:p w:rsidR="00441598" w:rsidRDefault="00FC2597" w:rsidP="00A25092">
      <w:pPr>
        <w:pStyle w:val="Textkrper"/>
        <w:spacing w:before="120"/>
        <w:rPr>
          <w:sz w:val="24"/>
          <w:szCs w:val="24"/>
          <w:lang w:eastAsia="ja-JP"/>
        </w:rPr>
      </w:pPr>
      <w:r w:rsidRPr="00FC2597">
        <w:rPr>
          <w:sz w:val="24"/>
          <w:szCs w:val="24"/>
          <w:lang w:eastAsia="ja-JP"/>
        </w:rPr>
        <w:t>The 2016 Kumamoto earthquake sequence occurred on active faults where strong-motion evaluation was executed based on the long-term evaluation and strong-motion prediction method ‘Recipe’ by Headquarters for Earthquake Research Promotion (HERP). The magnitude of first large earthquake occurred on April 14 (M6.5) at a part of the Hinagu fault zone was smaller than that evaluated by HERP (about M6.8) before the earthquake. On the other hand, the largest earthquake occurred on April 16 (M7.3) at a part of the Futagawa fault zone was larger than that by HERP (about M7.0).</w:t>
      </w:r>
      <w:r>
        <w:rPr>
          <w:sz w:val="24"/>
          <w:szCs w:val="24"/>
          <w:lang w:eastAsia="ja-JP"/>
        </w:rPr>
        <w:t xml:space="preserve"> </w:t>
      </w:r>
      <w:r w:rsidR="00441598">
        <w:rPr>
          <w:sz w:val="24"/>
          <w:szCs w:val="24"/>
          <w:lang w:eastAsia="ja-JP"/>
        </w:rPr>
        <w:t>In this paper, b</w:t>
      </w:r>
      <w:r w:rsidR="00441598" w:rsidRPr="00441598">
        <w:rPr>
          <w:sz w:val="24"/>
          <w:szCs w:val="24"/>
          <w:lang w:eastAsia="ja-JP"/>
        </w:rPr>
        <w:t xml:space="preserve">ased on the knowledge obtained from the analysis of the Kumamoto earthquake, we consider </w:t>
      </w:r>
      <w:r w:rsidR="00441598">
        <w:rPr>
          <w:sz w:val="24"/>
          <w:szCs w:val="24"/>
          <w:lang w:eastAsia="ja-JP"/>
        </w:rPr>
        <w:t xml:space="preserve">some </w:t>
      </w:r>
      <w:r w:rsidR="00441598" w:rsidRPr="00441598">
        <w:rPr>
          <w:sz w:val="24"/>
          <w:szCs w:val="24"/>
          <w:lang w:eastAsia="ja-JP"/>
        </w:rPr>
        <w:t>problems in strong-motion prediction and seismic hazard analysis, especially handling of uncertainty in prediction of future events.</w:t>
      </w:r>
    </w:p>
    <w:p w:rsidR="00A8604F" w:rsidRPr="00487E6D" w:rsidRDefault="001067D0" w:rsidP="009F6A57">
      <w:pPr>
        <w:pStyle w:val="31"/>
        <w:rPr>
          <w:lang w:val="en-US"/>
        </w:rPr>
      </w:pPr>
      <w:r>
        <w:rPr>
          <w:rFonts w:hint="eastAsia"/>
          <w:lang w:val="en-US" w:eastAsia="ja-JP"/>
        </w:rPr>
        <w:lastRenderedPageBreak/>
        <w:t>Va</w:t>
      </w:r>
      <w:r>
        <w:rPr>
          <w:lang w:val="en-US" w:eastAsia="ja-JP"/>
        </w:rPr>
        <w:t>lidation of the Recipe</w:t>
      </w:r>
      <w:r w:rsidR="002C68F5">
        <w:rPr>
          <w:lang w:val="en-US" w:eastAsia="ja-JP"/>
        </w:rPr>
        <w:t xml:space="preserve"> for the 2016 Kumamoto E</w:t>
      </w:r>
      <w:r>
        <w:rPr>
          <w:lang w:val="en-US" w:eastAsia="ja-JP"/>
        </w:rPr>
        <w:t>arthquake</w:t>
      </w:r>
    </w:p>
    <w:p w:rsidR="00A8604F" w:rsidRPr="009F6A57" w:rsidRDefault="001067D0">
      <w:pPr>
        <w:pStyle w:val="Textkrper"/>
        <w:rPr>
          <w:rFonts w:ascii="Times New Roman" w:hAnsi="Times New Roman"/>
          <w:sz w:val="24"/>
          <w:lang w:val="en-US" w:eastAsia="ja-JP"/>
        </w:rPr>
      </w:pPr>
      <w:r>
        <w:rPr>
          <w:rFonts w:ascii="Times New Roman" w:hAnsi="Times New Roman"/>
          <w:sz w:val="24"/>
          <w:lang w:val="en-US"/>
        </w:rPr>
        <w:t xml:space="preserve">The validation of the </w:t>
      </w:r>
      <w:r w:rsidR="00950D20">
        <w:rPr>
          <w:rFonts w:ascii="Times New Roman" w:hAnsi="Times New Roman"/>
          <w:sz w:val="24"/>
          <w:lang w:val="en-US"/>
        </w:rPr>
        <w:t>r</w:t>
      </w:r>
      <w:r>
        <w:rPr>
          <w:rFonts w:ascii="Times New Roman" w:hAnsi="Times New Roman"/>
          <w:sz w:val="24"/>
          <w:lang w:val="en-US"/>
        </w:rPr>
        <w:t xml:space="preserve">ecipe had been already </w:t>
      </w:r>
      <w:r w:rsidR="005C0798">
        <w:rPr>
          <w:rFonts w:ascii="Times New Roman" w:hAnsi="Times New Roman"/>
          <w:sz w:val="24"/>
          <w:lang w:val="en-US"/>
        </w:rPr>
        <w:t>applied</w:t>
      </w:r>
      <w:r>
        <w:rPr>
          <w:rFonts w:ascii="Times New Roman" w:hAnsi="Times New Roman"/>
          <w:sz w:val="24"/>
          <w:lang w:val="en-US"/>
        </w:rPr>
        <w:t xml:space="preserve"> for some shallow crulstal earthquakes</w:t>
      </w:r>
      <w:r w:rsidR="00CE63BF">
        <w:rPr>
          <w:rFonts w:ascii="Times New Roman" w:hAnsi="Times New Roman"/>
          <w:sz w:val="24"/>
          <w:lang w:val="en-US"/>
        </w:rPr>
        <w:t xml:space="preserve"> occurred in Japa</w:t>
      </w:r>
      <w:r w:rsidR="00CE63BF" w:rsidRPr="00043E25">
        <w:rPr>
          <w:rFonts w:ascii="Times New Roman" w:hAnsi="Times New Roman"/>
          <w:sz w:val="24"/>
          <w:lang w:val="en-US"/>
        </w:rPr>
        <w:t>n</w:t>
      </w:r>
      <w:r w:rsidRPr="00043E25">
        <w:rPr>
          <w:rFonts w:ascii="Times New Roman" w:hAnsi="Times New Roman"/>
          <w:sz w:val="24"/>
          <w:lang w:val="en-US"/>
        </w:rPr>
        <w:t xml:space="preserve"> [</w:t>
      </w:r>
      <w:r w:rsidR="00043E25" w:rsidRPr="00043E25">
        <w:rPr>
          <w:rFonts w:ascii="Times New Roman" w:hAnsi="Times New Roman"/>
          <w:sz w:val="24"/>
          <w:lang w:val="en-US"/>
        </w:rPr>
        <w:t>6</w:t>
      </w:r>
      <w:r w:rsidRPr="00043E25">
        <w:rPr>
          <w:rFonts w:ascii="Times New Roman" w:hAnsi="Times New Roman"/>
          <w:sz w:val="24"/>
          <w:lang w:val="en-US"/>
        </w:rPr>
        <w:t xml:space="preserve">]. </w:t>
      </w:r>
      <w:r>
        <w:rPr>
          <w:rFonts w:ascii="Times New Roman" w:hAnsi="Times New Roman"/>
          <w:sz w:val="24"/>
          <w:lang w:val="en-US" w:eastAsia="ja-JP"/>
        </w:rPr>
        <w:t>However,</w:t>
      </w:r>
      <w:r w:rsidR="005C0798">
        <w:rPr>
          <w:rFonts w:ascii="Times New Roman" w:hAnsi="Times New Roman"/>
          <w:sz w:val="24"/>
          <w:lang w:val="en-US" w:eastAsia="ja-JP"/>
        </w:rPr>
        <w:t xml:space="preserve"> </w:t>
      </w:r>
      <w:r w:rsidR="0086757A">
        <w:rPr>
          <w:rFonts w:ascii="Times New Roman" w:hAnsi="Times New Roman" w:hint="eastAsia"/>
          <w:sz w:val="24"/>
          <w:lang w:val="en-US" w:eastAsia="ja-JP"/>
        </w:rPr>
        <w:t xml:space="preserve">the target earthquakes were </w:t>
      </w:r>
      <w:r w:rsidR="0086757A">
        <w:rPr>
          <w:rFonts w:ascii="Times New Roman" w:hAnsi="Times New Roman"/>
          <w:sz w:val="24"/>
          <w:lang w:val="en-US" w:eastAsia="ja-JP"/>
        </w:rPr>
        <w:t>relatively small where surface rupture could hardly be confirmed.</w:t>
      </w:r>
      <w:r w:rsidR="000102C7">
        <w:rPr>
          <w:rFonts w:ascii="Times New Roman" w:hAnsi="Times New Roman"/>
          <w:sz w:val="24"/>
          <w:lang w:val="en-US" w:eastAsia="ja-JP"/>
        </w:rPr>
        <w:t xml:space="preserve"> </w:t>
      </w:r>
      <w:r w:rsidR="0086757A">
        <w:rPr>
          <w:rFonts w:ascii="Times New Roman" w:hAnsi="Times New Roman"/>
          <w:sz w:val="24"/>
          <w:lang w:val="en-US" w:eastAsia="ja-JP"/>
        </w:rPr>
        <w:t xml:space="preserve">The mainshock of 2016 Kumamoto earthquake was the first event in Japan where a clear surface rupture was confirmed after the establishment of high-density strong-motion observation networks such as K-NET. The validation of the ‘Recipe’for such earthquake has not been done yet. </w:t>
      </w:r>
      <w:r w:rsidR="0086757A">
        <w:rPr>
          <w:rFonts w:ascii="Times New Roman" w:hAnsi="Times New Roman" w:hint="eastAsia"/>
          <w:sz w:val="24"/>
          <w:lang w:val="en-US" w:eastAsia="ja-JP"/>
        </w:rPr>
        <w:t xml:space="preserve">In this section, we validate the </w:t>
      </w:r>
      <w:r w:rsidR="0086757A">
        <w:rPr>
          <w:rFonts w:ascii="Times New Roman" w:hAnsi="Times New Roman"/>
          <w:sz w:val="24"/>
          <w:lang w:val="en-US" w:eastAsia="ja-JP"/>
        </w:rPr>
        <w:t>‘Recipe’ for the</w:t>
      </w:r>
      <w:r w:rsidR="00950D20">
        <w:rPr>
          <w:rFonts w:ascii="Times New Roman" w:hAnsi="Times New Roman"/>
          <w:sz w:val="24"/>
          <w:lang w:val="en-US" w:eastAsia="ja-JP"/>
        </w:rPr>
        <w:t xml:space="preserve"> </w:t>
      </w:r>
      <w:r w:rsidR="0086757A">
        <w:rPr>
          <w:rFonts w:ascii="Times New Roman" w:hAnsi="Times New Roman"/>
          <w:sz w:val="24"/>
          <w:lang w:val="en-US" w:eastAsia="ja-JP"/>
        </w:rPr>
        <w:t xml:space="preserve">2016 Kumamoto earthquake </w:t>
      </w:r>
      <w:r w:rsidR="006A7954">
        <w:rPr>
          <w:rFonts w:ascii="Times New Roman" w:hAnsi="Times New Roman"/>
          <w:sz w:val="24"/>
          <w:lang w:val="en-US" w:eastAsia="ja-JP"/>
        </w:rPr>
        <w:t xml:space="preserve">by comparing observed strong-motion records with simulated ones. In addition, we </w:t>
      </w:r>
      <w:r w:rsidR="00950D20">
        <w:rPr>
          <w:rFonts w:ascii="Times New Roman" w:hAnsi="Times New Roman"/>
          <w:sz w:val="24"/>
          <w:lang w:val="en-US" w:eastAsia="ja-JP"/>
        </w:rPr>
        <w:t>propose</w:t>
      </w:r>
      <w:r w:rsidR="007E72EE">
        <w:rPr>
          <w:rFonts w:ascii="Times New Roman" w:hAnsi="Times New Roman"/>
          <w:sz w:val="24"/>
          <w:lang w:val="en-US" w:eastAsia="ja-JP"/>
        </w:rPr>
        <w:t xml:space="preserve"> one of the </w:t>
      </w:r>
      <w:r w:rsidR="00950D20">
        <w:rPr>
          <w:rFonts w:ascii="Times New Roman" w:hAnsi="Times New Roman"/>
          <w:sz w:val="24"/>
          <w:lang w:val="en-US" w:eastAsia="ja-JP"/>
        </w:rPr>
        <w:t xml:space="preserve">modeling </w:t>
      </w:r>
      <w:r w:rsidR="007E72EE">
        <w:rPr>
          <w:rFonts w:ascii="Times New Roman" w:hAnsi="Times New Roman"/>
          <w:sz w:val="24"/>
          <w:lang w:val="en-US" w:eastAsia="ja-JP"/>
        </w:rPr>
        <w:t>method</w:t>
      </w:r>
      <w:r w:rsidR="00950D20">
        <w:rPr>
          <w:rFonts w:ascii="Times New Roman" w:hAnsi="Times New Roman"/>
          <w:sz w:val="24"/>
          <w:lang w:val="en-US" w:eastAsia="ja-JP"/>
        </w:rPr>
        <w:t>s</w:t>
      </w:r>
      <w:r w:rsidR="007E72EE">
        <w:rPr>
          <w:rFonts w:ascii="Times New Roman" w:hAnsi="Times New Roman"/>
          <w:sz w:val="24"/>
          <w:lang w:val="en-US" w:eastAsia="ja-JP"/>
        </w:rPr>
        <w:t xml:space="preserve"> </w:t>
      </w:r>
      <w:r w:rsidR="00950D20">
        <w:rPr>
          <w:rFonts w:ascii="Times New Roman" w:hAnsi="Times New Roman"/>
          <w:sz w:val="24"/>
          <w:lang w:val="en-US" w:eastAsia="ja-JP"/>
        </w:rPr>
        <w:t>of source faults including surface rupture not considered in the current recipe.</w:t>
      </w:r>
    </w:p>
    <w:p w:rsidR="00A8604F" w:rsidRDefault="004C57A4" w:rsidP="00812B3F">
      <w:pPr>
        <w:pStyle w:val="41"/>
        <w:numPr>
          <w:ilvl w:val="0"/>
          <w:numId w:val="42"/>
        </w:numPr>
        <w:rPr>
          <w:lang w:val="en-US"/>
        </w:rPr>
      </w:pPr>
      <w:r>
        <w:rPr>
          <w:lang w:val="en-US"/>
        </w:rPr>
        <w:t xml:space="preserve"> </w:t>
      </w:r>
      <w:r w:rsidR="00407B35">
        <w:rPr>
          <w:lang w:val="en-US"/>
        </w:rPr>
        <w:t>Source Model Based on Length of Surface Rupture</w:t>
      </w:r>
    </w:p>
    <w:p w:rsidR="00A8604F" w:rsidRPr="00043E25" w:rsidRDefault="005C0798">
      <w:pPr>
        <w:numPr>
          <w:ilvl w:val="12"/>
          <w:numId w:val="0"/>
        </w:numPr>
        <w:rPr>
          <w:lang w:val="en-US" w:eastAsia="ja-JP"/>
        </w:rPr>
      </w:pPr>
      <w:r>
        <w:rPr>
          <w:rFonts w:ascii="Times New Roman" w:hAnsi="Times New Roman"/>
          <w:lang w:val="en-US"/>
        </w:rPr>
        <w:t xml:space="preserve">The 2016 Kumamoto earthquake sequence occurred in part of Futagawa and Hinagu fault zones where the long-term </w:t>
      </w:r>
      <w:r w:rsidR="006E74AC">
        <w:rPr>
          <w:rFonts w:ascii="Times New Roman" w:hAnsi="Times New Roman" w:hint="eastAsia"/>
          <w:lang w:val="en-US" w:eastAsia="ja-JP"/>
        </w:rPr>
        <w:t xml:space="preserve">and </w:t>
      </w:r>
      <w:r w:rsidR="006E74AC">
        <w:rPr>
          <w:rFonts w:ascii="Times New Roman" w:hAnsi="Times New Roman"/>
          <w:lang w:val="en-US" w:eastAsia="ja-JP"/>
        </w:rPr>
        <w:t xml:space="preserve">strong-motion </w:t>
      </w:r>
      <w:r>
        <w:rPr>
          <w:rFonts w:ascii="Times New Roman" w:hAnsi="Times New Roman"/>
          <w:lang w:val="en-US"/>
        </w:rPr>
        <w:t>evaluation</w:t>
      </w:r>
      <w:r w:rsidR="006E74AC">
        <w:rPr>
          <w:rFonts w:ascii="Times New Roman" w:hAnsi="Times New Roman"/>
          <w:lang w:val="en-US"/>
        </w:rPr>
        <w:t>s</w:t>
      </w:r>
      <w:r>
        <w:rPr>
          <w:rFonts w:ascii="Times New Roman" w:hAnsi="Times New Roman"/>
          <w:lang w:val="en-US"/>
        </w:rPr>
        <w:t xml:space="preserve"> w</w:t>
      </w:r>
      <w:r w:rsidR="006E74AC">
        <w:rPr>
          <w:rFonts w:ascii="Times New Roman" w:hAnsi="Times New Roman"/>
          <w:lang w:val="en-US"/>
        </w:rPr>
        <w:t>ere</w:t>
      </w:r>
      <w:r>
        <w:rPr>
          <w:rFonts w:ascii="Times New Roman" w:hAnsi="Times New Roman"/>
          <w:lang w:val="en-US"/>
        </w:rPr>
        <w:t xml:space="preserve"> published by the HERP</w:t>
      </w:r>
      <w:r w:rsidR="00C2113E">
        <w:rPr>
          <w:rFonts w:ascii="Times New Roman" w:hAnsi="Times New Roman"/>
          <w:lang w:val="en-US"/>
        </w:rPr>
        <w:t xml:space="preserve"> before the earthquake</w:t>
      </w:r>
      <w:r>
        <w:rPr>
          <w:rFonts w:ascii="Times New Roman" w:hAnsi="Times New Roman"/>
          <w:lang w:val="en-US"/>
        </w:rPr>
        <w:t>. The largest earthquake (main shock) occurred mainly in the Futagawa segment of the Futagawa fault zone</w:t>
      </w:r>
      <w:r w:rsidR="00B208AB">
        <w:rPr>
          <w:rFonts w:ascii="Times New Roman" w:hAnsi="Times New Roman"/>
          <w:lang w:val="en-US"/>
        </w:rPr>
        <w:t xml:space="preserve">. The length of surface rupture has been confirmed as </w:t>
      </w:r>
      <w:r>
        <w:rPr>
          <w:rFonts w:ascii="Times New Roman" w:hAnsi="Times New Roman"/>
          <w:lang w:val="en-US"/>
        </w:rPr>
        <w:t>34</w:t>
      </w:r>
      <w:r w:rsidR="00EA4C56">
        <w:rPr>
          <w:rFonts w:ascii="Times New Roman" w:hAnsi="Times New Roman"/>
          <w:lang w:val="en-US"/>
        </w:rPr>
        <w:t xml:space="preserve"> </w:t>
      </w:r>
      <w:r>
        <w:rPr>
          <w:rFonts w:ascii="Times New Roman" w:hAnsi="Times New Roman"/>
          <w:lang w:val="en-US"/>
        </w:rPr>
        <w:t>km</w:t>
      </w:r>
      <w:r w:rsidR="00B208AB" w:rsidRPr="00043E25">
        <w:rPr>
          <w:rFonts w:ascii="Times New Roman" w:hAnsi="Times New Roman"/>
          <w:lang w:val="en-US"/>
        </w:rPr>
        <w:t xml:space="preserve"> </w:t>
      </w:r>
      <w:r w:rsidRPr="00043E25">
        <w:rPr>
          <w:rFonts w:ascii="Times New Roman" w:hAnsi="Times New Roman"/>
          <w:lang w:val="en-US"/>
        </w:rPr>
        <w:t>[</w:t>
      </w:r>
      <w:r w:rsidR="00043E25" w:rsidRPr="00043E25">
        <w:rPr>
          <w:rFonts w:ascii="Times New Roman" w:hAnsi="Times New Roman"/>
          <w:lang w:val="en-US"/>
        </w:rPr>
        <w:t>7</w:t>
      </w:r>
      <w:r w:rsidRPr="00043E25">
        <w:rPr>
          <w:rFonts w:ascii="Times New Roman" w:hAnsi="Times New Roman"/>
          <w:lang w:val="en-US"/>
        </w:rPr>
        <w:t xml:space="preserve">]. </w:t>
      </w:r>
      <w:r w:rsidR="00C2113E" w:rsidRPr="00043E25">
        <w:rPr>
          <w:rFonts w:ascii="Times New Roman" w:hAnsi="Times New Roman"/>
          <w:lang w:val="en-US"/>
        </w:rPr>
        <w:t>F</w:t>
      </w:r>
      <w:r w:rsidR="00C2113E">
        <w:rPr>
          <w:rFonts w:ascii="Times New Roman" w:hAnsi="Times New Roman"/>
          <w:lang w:val="en-US"/>
        </w:rPr>
        <w:t>irst</w:t>
      </w:r>
      <w:r w:rsidR="00373601">
        <w:rPr>
          <w:rFonts w:ascii="Times New Roman" w:hAnsi="Times New Roman"/>
          <w:lang w:val="en-US"/>
        </w:rPr>
        <w:t xml:space="preserve"> we </w:t>
      </w:r>
      <w:r w:rsidR="00C2113E">
        <w:rPr>
          <w:rFonts w:ascii="Times New Roman" w:hAnsi="Times New Roman"/>
          <w:lang w:val="en-US"/>
        </w:rPr>
        <w:t>consider the length of surface rupture as the fault length, and c</w:t>
      </w:r>
      <w:r w:rsidR="00373601">
        <w:rPr>
          <w:rFonts w:ascii="Times New Roman" w:hAnsi="Times New Roman"/>
          <w:lang w:val="en-US"/>
        </w:rPr>
        <w:t xml:space="preserve">onstruct a source model </w:t>
      </w:r>
      <w:r w:rsidR="00C2113E">
        <w:rPr>
          <w:rFonts w:ascii="Times New Roman" w:hAnsi="Times New Roman"/>
          <w:lang w:val="en-US"/>
        </w:rPr>
        <w:t xml:space="preserve">based on the </w:t>
      </w:r>
      <w:r w:rsidR="0059623F">
        <w:rPr>
          <w:rFonts w:ascii="Times New Roman" w:hAnsi="Times New Roman"/>
          <w:lang w:val="en-US"/>
        </w:rPr>
        <w:t>recipe</w:t>
      </w:r>
      <w:r w:rsidR="00373601">
        <w:rPr>
          <w:rFonts w:ascii="Times New Roman" w:hAnsi="Times New Roman"/>
          <w:lang w:val="en-US"/>
        </w:rPr>
        <w:t xml:space="preserve">. </w:t>
      </w:r>
      <w:r w:rsidR="006E74AC">
        <w:rPr>
          <w:rFonts w:ascii="Times New Roman" w:hAnsi="Times New Roman"/>
          <w:lang w:val="en-US"/>
        </w:rPr>
        <w:t>In this study, we use the strike, dip and rake angle applied in the strong-motion evaluation before the earthquak</w:t>
      </w:r>
      <w:r w:rsidR="006E74AC" w:rsidRPr="00043E25">
        <w:rPr>
          <w:rFonts w:ascii="Times New Roman" w:hAnsi="Times New Roman"/>
          <w:lang w:val="en-US"/>
        </w:rPr>
        <w:t>e [</w:t>
      </w:r>
      <w:r w:rsidR="00043E25" w:rsidRPr="00043E25">
        <w:rPr>
          <w:rFonts w:ascii="Times New Roman" w:hAnsi="Times New Roman"/>
          <w:lang w:val="en-US"/>
        </w:rPr>
        <w:t>8</w:t>
      </w:r>
      <w:r w:rsidR="006E74AC" w:rsidRPr="00043E25">
        <w:rPr>
          <w:rFonts w:ascii="Times New Roman" w:hAnsi="Times New Roman"/>
          <w:lang w:val="en-US"/>
        </w:rPr>
        <w:t>]</w:t>
      </w:r>
      <w:r w:rsidR="002D65A7" w:rsidRPr="00043E25">
        <w:rPr>
          <w:rFonts w:ascii="Times New Roman" w:hAnsi="Times New Roman"/>
          <w:lang w:val="en-US"/>
        </w:rPr>
        <w:t>. The</w:t>
      </w:r>
      <w:r w:rsidR="002D65A7">
        <w:rPr>
          <w:rFonts w:ascii="Times New Roman" w:hAnsi="Times New Roman"/>
          <w:lang w:val="en-US"/>
        </w:rPr>
        <w:t xml:space="preserve"> upper depth of the fault plane is set to 2</w:t>
      </w:r>
      <w:r w:rsidR="00EA4C56">
        <w:rPr>
          <w:rFonts w:ascii="Times New Roman" w:hAnsi="Times New Roman"/>
          <w:lang w:val="en-US" w:eastAsia="ja-JP"/>
        </w:rPr>
        <w:t xml:space="preserve"> </w:t>
      </w:r>
      <w:r w:rsidR="002D65A7">
        <w:rPr>
          <w:rFonts w:ascii="Times New Roman" w:hAnsi="Times New Roman"/>
          <w:lang w:val="en-US"/>
        </w:rPr>
        <w:t xml:space="preserve">km which </w:t>
      </w:r>
      <w:r w:rsidR="00574741">
        <w:rPr>
          <w:rFonts w:ascii="Times New Roman" w:hAnsi="Times New Roman"/>
          <w:lang w:val="en-US"/>
        </w:rPr>
        <w:t>is d</w:t>
      </w:r>
      <w:r w:rsidR="002D65A7">
        <w:rPr>
          <w:rFonts w:ascii="Times New Roman" w:hAnsi="Times New Roman"/>
          <w:lang w:val="en-US"/>
        </w:rPr>
        <w:t xml:space="preserve">epth </w:t>
      </w:r>
      <w:r w:rsidR="00574741">
        <w:rPr>
          <w:rFonts w:ascii="Times New Roman" w:hAnsi="Times New Roman"/>
          <w:lang w:val="en-US"/>
        </w:rPr>
        <w:t xml:space="preserve">to top </w:t>
      </w:r>
      <w:r w:rsidR="002D65A7">
        <w:rPr>
          <w:rFonts w:ascii="Times New Roman" w:hAnsi="Times New Roman"/>
          <w:lang w:val="en-US"/>
        </w:rPr>
        <w:t>of seismic bedrock whose shear wave velocity is 2.7</w:t>
      </w:r>
      <w:r w:rsidR="00EA4C56">
        <w:rPr>
          <w:rFonts w:ascii="Times New Roman" w:hAnsi="Times New Roman"/>
          <w:lang w:val="en-US"/>
        </w:rPr>
        <w:t xml:space="preserve"> </w:t>
      </w:r>
      <w:r w:rsidR="002D65A7">
        <w:rPr>
          <w:rFonts w:ascii="Times New Roman" w:hAnsi="Times New Roman"/>
          <w:lang w:val="en-US"/>
        </w:rPr>
        <w:t xml:space="preserve">km/s or more. </w:t>
      </w:r>
      <w:r w:rsidR="0059623F">
        <w:rPr>
          <w:rFonts w:ascii="Times New Roman" w:hAnsi="Times New Roman"/>
          <w:lang w:val="en-US"/>
        </w:rPr>
        <w:t>Here we assumed the lower depth of the fault plane as 18 km based on the aftershock distribution although the depth</w:t>
      </w:r>
      <w:r w:rsidR="0028244B">
        <w:rPr>
          <w:rFonts w:ascii="Times New Roman" w:hAnsi="Times New Roman"/>
          <w:lang w:val="en-US"/>
        </w:rPr>
        <w:t xml:space="preserve"> </w:t>
      </w:r>
      <w:r w:rsidR="0059623F">
        <w:rPr>
          <w:rFonts w:ascii="Times New Roman" w:hAnsi="Times New Roman"/>
          <w:lang w:val="en-US"/>
        </w:rPr>
        <w:t>was evaluated as about 13km based on the distribution of small earthquake before the earthquake.</w:t>
      </w:r>
      <w:r w:rsidR="0066317D">
        <w:rPr>
          <w:rFonts w:ascii="Times New Roman" w:hAnsi="Times New Roman"/>
          <w:lang w:val="en-US"/>
        </w:rPr>
        <w:t xml:space="preserve"> </w:t>
      </w:r>
      <w:r w:rsidR="0066317D">
        <w:rPr>
          <w:rFonts w:ascii="Times New Roman" w:hAnsi="Times New Roman" w:hint="eastAsia"/>
          <w:lang w:val="en-US" w:eastAsia="ja-JP"/>
        </w:rPr>
        <w:t>T</w:t>
      </w:r>
      <w:r w:rsidR="0066317D">
        <w:rPr>
          <w:rFonts w:ascii="Times New Roman" w:hAnsi="Times New Roman"/>
          <w:lang w:val="en-US" w:eastAsia="ja-JP"/>
        </w:rPr>
        <w:t xml:space="preserve">he seismic moment </w:t>
      </w:r>
      <w:r w:rsidR="00EA4C56">
        <w:rPr>
          <w:rFonts w:ascii="Times New Roman" w:hAnsi="Times New Roman" w:hint="eastAsia"/>
          <w:lang w:val="en-US" w:eastAsia="ja-JP"/>
        </w:rPr>
        <w:t>1.7</w:t>
      </w:r>
      <w:r w:rsidR="00EA4C56">
        <w:rPr>
          <w:rFonts w:cs="Times"/>
          <w:lang w:val="en-US" w:eastAsia="ja-JP"/>
        </w:rPr>
        <w:t>×</w:t>
      </w:r>
      <w:r w:rsidR="00EA4C56">
        <w:rPr>
          <w:rFonts w:ascii="Times New Roman" w:hAnsi="Times New Roman" w:hint="eastAsia"/>
          <w:lang w:val="en-US" w:eastAsia="ja-JP"/>
        </w:rPr>
        <w:t>10</w:t>
      </w:r>
      <w:r w:rsidR="00EA4C56" w:rsidRPr="00EA4C56">
        <w:rPr>
          <w:rFonts w:ascii="Times New Roman" w:hAnsi="Times New Roman" w:hint="eastAsia"/>
          <w:vertAlign w:val="superscript"/>
          <w:lang w:val="en-US" w:eastAsia="ja-JP"/>
        </w:rPr>
        <w:t>19</w:t>
      </w:r>
      <w:r w:rsidR="00EA4C56" w:rsidRPr="00EA4C56">
        <w:rPr>
          <w:rFonts w:ascii="Times New Roman" w:hAnsi="Times New Roman"/>
          <w:lang w:val="en-US" w:eastAsia="ja-JP"/>
        </w:rPr>
        <w:t xml:space="preserve"> </w:t>
      </w:r>
      <w:r w:rsidR="00EA4C56">
        <w:rPr>
          <w:rFonts w:ascii="Times New Roman" w:hAnsi="Times New Roman" w:hint="eastAsia"/>
          <w:lang w:val="en-US" w:eastAsia="ja-JP"/>
        </w:rPr>
        <w:t>N</w:t>
      </w:r>
      <w:r w:rsidR="00EA4C56">
        <w:rPr>
          <w:rFonts w:ascii="Courier New" w:hAnsi="Courier New"/>
          <w:lang w:val="en-US" w:eastAsia="ja-JP"/>
        </w:rPr>
        <w:t>·</w:t>
      </w:r>
      <w:r w:rsidR="00EA4C56">
        <w:rPr>
          <w:rFonts w:ascii="Times New Roman" w:hAnsi="Times New Roman" w:hint="eastAsia"/>
          <w:lang w:val="en-US" w:eastAsia="ja-JP"/>
        </w:rPr>
        <w:t>m</w:t>
      </w:r>
      <w:r w:rsidR="0066317D">
        <w:rPr>
          <w:rFonts w:ascii="Times New Roman" w:hAnsi="Times New Roman"/>
          <w:lang w:val="en-US" w:eastAsia="ja-JP"/>
        </w:rPr>
        <w:t xml:space="preserve"> </w:t>
      </w:r>
      <w:r w:rsidR="00290406">
        <w:rPr>
          <w:rFonts w:ascii="Times New Roman" w:hAnsi="Times New Roman"/>
          <w:lang w:val="en-US" w:eastAsia="ja-JP"/>
        </w:rPr>
        <w:t xml:space="preserve">is obtained </w:t>
      </w:r>
      <w:r w:rsidR="0066317D">
        <w:rPr>
          <w:rFonts w:ascii="Times New Roman" w:hAnsi="Times New Roman"/>
          <w:lang w:val="en-US" w:eastAsia="ja-JP"/>
        </w:rPr>
        <w:t>from an empirical relationship</w:t>
      </w:r>
      <w:r w:rsidR="0066317D" w:rsidRPr="00043E25">
        <w:rPr>
          <w:rFonts w:ascii="Times New Roman" w:hAnsi="Times New Roman"/>
          <w:lang w:val="en-US" w:eastAsia="ja-JP"/>
        </w:rPr>
        <w:t xml:space="preserve"> [</w:t>
      </w:r>
      <w:r w:rsidR="00043E25" w:rsidRPr="00043E25">
        <w:rPr>
          <w:rFonts w:ascii="Times New Roman" w:hAnsi="Times New Roman"/>
          <w:lang w:val="en-US" w:eastAsia="ja-JP"/>
        </w:rPr>
        <w:t>9</w:t>
      </w:r>
      <w:r w:rsidR="0066317D" w:rsidRPr="00043E25">
        <w:rPr>
          <w:rFonts w:ascii="Times New Roman" w:hAnsi="Times New Roman"/>
          <w:lang w:val="en-US" w:eastAsia="ja-JP"/>
        </w:rPr>
        <w:t xml:space="preserve">] </w:t>
      </w:r>
      <w:r w:rsidR="0066317D">
        <w:rPr>
          <w:rFonts w:ascii="Times New Roman" w:hAnsi="Times New Roman"/>
          <w:lang w:val="en-US" w:eastAsia="ja-JP"/>
        </w:rPr>
        <w:t>from the source area</w:t>
      </w:r>
      <w:r w:rsidR="00290406">
        <w:rPr>
          <w:rFonts w:ascii="Times New Roman" w:hAnsi="Times New Roman"/>
          <w:lang w:val="en-US" w:eastAsia="ja-JP"/>
        </w:rPr>
        <w:t>. This value is about 1/3 as compared with 4</w:t>
      </w:r>
      <w:r w:rsidR="00C5537C">
        <w:rPr>
          <w:rFonts w:ascii="Times New Roman" w:hAnsi="Times New Roman" w:hint="eastAsia"/>
          <w:lang w:val="en-US" w:eastAsia="ja-JP"/>
        </w:rPr>
        <w:t>.</w:t>
      </w:r>
      <w:r w:rsidR="00EA4C56">
        <w:rPr>
          <w:rFonts w:ascii="Times New Roman" w:hAnsi="Times New Roman" w:hint="eastAsia"/>
          <w:lang w:val="en-US" w:eastAsia="ja-JP"/>
        </w:rPr>
        <w:t>5</w:t>
      </w:r>
      <w:r w:rsidR="00EA4C56">
        <w:rPr>
          <w:rFonts w:cs="Times"/>
          <w:lang w:val="en-US" w:eastAsia="ja-JP"/>
        </w:rPr>
        <w:t>×</w:t>
      </w:r>
      <w:r w:rsidR="00EA4C56">
        <w:rPr>
          <w:rFonts w:cs="Times" w:hint="eastAsia"/>
          <w:lang w:val="en-US" w:eastAsia="ja-JP"/>
        </w:rPr>
        <w:t>10</w:t>
      </w:r>
      <w:r w:rsidR="00EA4C56" w:rsidRPr="00EA4C56">
        <w:rPr>
          <w:rFonts w:cs="Times" w:hint="eastAsia"/>
          <w:vertAlign w:val="superscript"/>
          <w:lang w:val="en-US" w:eastAsia="ja-JP"/>
        </w:rPr>
        <w:t>19</w:t>
      </w:r>
      <w:r w:rsidR="00EA4C56">
        <w:rPr>
          <w:rFonts w:cs="Times"/>
          <w:lang w:val="en-US" w:eastAsia="ja-JP"/>
        </w:rPr>
        <w:t xml:space="preserve"> N</w:t>
      </w:r>
      <w:r w:rsidR="00EA4C56">
        <w:rPr>
          <w:rFonts w:ascii="Courier New" w:hAnsi="Courier New"/>
          <w:lang w:val="en-US" w:eastAsia="ja-JP"/>
        </w:rPr>
        <w:t>·</w:t>
      </w:r>
      <w:r w:rsidR="00EA4C56">
        <w:rPr>
          <w:rFonts w:cs="Times"/>
          <w:lang w:val="en-US" w:eastAsia="ja-JP"/>
        </w:rPr>
        <w:t xml:space="preserve">m </w:t>
      </w:r>
      <w:r w:rsidR="00290406">
        <w:rPr>
          <w:rFonts w:cs="Times"/>
          <w:lang w:val="en-US" w:eastAsia="ja-JP"/>
        </w:rPr>
        <w:t>estimated from source inversion analysis using strong-motion record</w:t>
      </w:r>
      <w:r w:rsidR="00290406" w:rsidRPr="00043E25">
        <w:rPr>
          <w:rFonts w:cs="Times"/>
          <w:lang w:val="en-US" w:eastAsia="ja-JP"/>
        </w:rPr>
        <w:t>s [</w:t>
      </w:r>
      <w:r w:rsidR="00043E25" w:rsidRPr="00043E25">
        <w:rPr>
          <w:rFonts w:cs="Times"/>
          <w:lang w:val="en-US" w:eastAsia="ja-JP"/>
        </w:rPr>
        <w:t>10</w:t>
      </w:r>
      <w:r w:rsidR="00EA4C56" w:rsidRPr="00043E25">
        <w:rPr>
          <w:rFonts w:cs="Times"/>
          <w:lang w:val="en-US" w:eastAsia="ja-JP"/>
        </w:rPr>
        <w:t>]</w:t>
      </w:r>
      <w:r w:rsidR="00290406" w:rsidRPr="00043E25">
        <w:rPr>
          <w:rFonts w:cs="Times"/>
          <w:lang w:val="en-US" w:eastAsia="ja-JP"/>
        </w:rPr>
        <w:t>.</w:t>
      </w:r>
    </w:p>
    <w:p w:rsidR="00A8604F" w:rsidRPr="00487E6D" w:rsidRDefault="004C57A4" w:rsidP="00812B3F">
      <w:pPr>
        <w:pStyle w:val="41"/>
        <w:numPr>
          <w:ilvl w:val="0"/>
          <w:numId w:val="42"/>
        </w:numPr>
        <w:rPr>
          <w:lang w:val="en-US"/>
        </w:rPr>
      </w:pPr>
      <w:r>
        <w:rPr>
          <w:lang w:val="en-US"/>
        </w:rPr>
        <w:t xml:space="preserve"> </w:t>
      </w:r>
      <w:r w:rsidR="00C2113E" w:rsidRPr="00487E6D">
        <w:rPr>
          <w:lang w:val="en-US"/>
        </w:rPr>
        <w:t>S</w:t>
      </w:r>
      <w:r w:rsidR="00C2113E">
        <w:rPr>
          <w:lang w:val="en-US"/>
        </w:rPr>
        <w:t>ource Model with Surface Rupture</w:t>
      </w:r>
    </w:p>
    <w:p w:rsidR="004D365F" w:rsidRDefault="0028244B" w:rsidP="00B71252">
      <w:pPr>
        <w:pStyle w:val="Textkrper"/>
        <w:rPr>
          <w:rFonts w:cs="Times"/>
          <w:sz w:val="24"/>
          <w:szCs w:val="24"/>
          <w:lang w:val="en-US" w:eastAsia="ja-JP"/>
        </w:rPr>
      </w:pPr>
      <w:r w:rsidRPr="0028244B">
        <w:rPr>
          <w:rFonts w:hint="eastAsia"/>
          <w:bCs/>
          <w:sz w:val="24"/>
          <w:lang w:val="en-US" w:eastAsia="ja-JP"/>
        </w:rPr>
        <w:t xml:space="preserve">In the strong-motion evaluation based on the </w:t>
      </w:r>
      <w:r w:rsidR="000F3E4D">
        <w:rPr>
          <w:bCs/>
          <w:sz w:val="24"/>
          <w:lang w:val="en-US" w:eastAsia="ja-JP"/>
        </w:rPr>
        <w:t>r</w:t>
      </w:r>
      <w:r w:rsidRPr="0028244B">
        <w:rPr>
          <w:bCs/>
          <w:sz w:val="24"/>
          <w:lang w:val="en-US" w:eastAsia="ja-JP"/>
        </w:rPr>
        <w:t xml:space="preserve">ecipe, the </w:t>
      </w:r>
      <w:r>
        <w:rPr>
          <w:bCs/>
          <w:sz w:val="24"/>
          <w:lang w:val="en-US" w:eastAsia="ja-JP"/>
        </w:rPr>
        <w:t>target</w:t>
      </w:r>
      <w:r w:rsidRPr="0028244B">
        <w:rPr>
          <w:bCs/>
          <w:sz w:val="24"/>
          <w:lang w:val="en-US" w:eastAsia="ja-JP"/>
        </w:rPr>
        <w:t xml:space="preserve"> </w:t>
      </w:r>
      <w:r w:rsidR="00CE63BF">
        <w:rPr>
          <w:bCs/>
          <w:sz w:val="24"/>
          <w:lang w:val="en-US" w:eastAsia="ja-JP"/>
        </w:rPr>
        <w:t>is</w:t>
      </w:r>
      <w:r w:rsidRPr="0028244B">
        <w:rPr>
          <w:bCs/>
          <w:sz w:val="24"/>
          <w:lang w:val="en-US" w:eastAsia="ja-JP"/>
        </w:rPr>
        <w:t xml:space="preserve"> mainly on modeling of short period </w:t>
      </w:r>
      <w:r w:rsidR="003A7982">
        <w:rPr>
          <w:bCs/>
          <w:sz w:val="24"/>
          <w:lang w:val="en-US" w:eastAsia="ja-JP"/>
        </w:rPr>
        <w:t xml:space="preserve">(&lt;1 s) </w:t>
      </w:r>
      <w:r w:rsidRPr="0028244B">
        <w:rPr>
          <w:bCs/>
          <w:sz w:val="24"/>
          <w:lang w:val="en-US" w:eastAsia="ja-JP"/>
        </w:rPr>
        <w:t xml:space="preserve">strong-motion generation. Therefore, </w:t>
      </w:r>
      <w:r w:rsidR="00BC1080">
        <w:rPr>
          <w:bCs/>
          <w:sz w:val="24"/>
          <w:lang w:val="en-US" w:eastAsia="ja-JP"/>
        </w:rPr>
        <w:t xml:space="preserve">the </w:t>
      </w:r>
      <w:r w:rsidR="00CE63BF">
        <w:rPr>
          <w:bCs/>
          <w:sz w:val="24"/>
          <w:lang w:val="en-US" w:eastAsia="ja-JP"/>
        </w:rPr>
        <w:t xml:space="preserve">fault plane is </w:t>
      </w:r>
      <w:r w:rsidRPr="0028244B">
        <w:rPr>
          <w:bCs/>
          <w:sz w:val="24"/>
          <w:lang w:val="en-US" w:eastAsia="ja-JP"/>
        </w:rPr>
        <w:t xml:space="preserve">within the seismogenic layer, and its depth </w:t>
      </w:r>
      <w:r w:rsidR="00574741">
        <w:rPr>
          <w:bCs/>
          <w:sz w:val="24"/>
          <w:lang w:val="en-US" w:eastAsia="ja-JP"/>
        </w:rPr>
        <w:t xml:space="preserve">to top </w:t>
      </w:r>
      <w:r w:rsidRPr="0028244B">
        <w:rPr>
          <w:bCs/>
          <w:sz w:val="24"/>
          <w:lang w:val="en-US" w:eastAsia="ja-JP"/>
        </w:rPr>
        <w:t>is not 0</w:t>
      </w:r>
      <w:r w:rsidR="00680AF3">
        <w:rPr>
          <w:rFonts w:hint="eastAsia"/>
          <w:bCs/>
          <w:sz w:val="24"/>
          <w:lang w:val="en-US" w:eastAsia="ja-JP"/>
        </w:rPr>
        <w:t xml:space="preserve"> </w:t>
      </w:r>
      <w:r w:rsidRPr="0028244B">
        <w:rPr>
          <w:bCs/>
          <w:sz w:val="24"/>
          <w:lang w:val="en-US" w:eastAsia="ja-JP"/>
        </w:rPr>
        <w:t>km</w:t>
      </w:r>
      <w:r>
        <w:rPr>
          <w:bCs/>
          <w:sz w:val="24"/>
          <w:lang w:val="en-US" w:eastAsia="ja-JP"/>
        </w:rPr>
        <w:t xml:space="preserve"> as shown in the </w:t>
      </w:r>
      <w:r w:rsidR="000C258D">
        <w:rPr>
          <w:bCs/>
          <w:sz w:val="24"/>
          <w:lang w:val="en-US" w:eastAsia="ja-JP"/>
        </w:rPr>
        <w:t xml:space="preserve">previous </w:t>
      </w:r>
      <w:r>
        <w:rPr>
          <w:bCs/>
          <w:sz w:val="24"/>
          <w:lang w:val="en-US" w:eastAsia="ja-JP"/>
        </w:rPr>
        <w:t>section</w:t>
      </w:r>
      <w:r w:rsidRPr="0028244B">
        <w:rPr>
          <w:bCs/>
          <w:sz w:val="24"/>
          <w:lang w:val="en-US" w:eastAsia="ja-JP"/>
        </w:rPr>
        <w:t>.</w:t>
      </w:r>
      <w:r w:rsidR="00C82700">
        <w:rPr>
          <w:bCs/>
          <w:sz w:val="24"/>
          <w:lang w:val="en-US" w:eastAsia="ja-JP"/>
        </w:rPr>
        <w:t xml:space="preserve"> </w:t>
      </w:r>
      <w:r w:rsidR="003A7982">
        <w:rPr>
          <w:bCs/>
          <w:sz w:val="24"/>
          <w:lang w:val="en-US" w:eastAsia="ja-JP"/>
        </w:rPr>
        <w:t xml:space="preserve">However, </w:t>
      </w:r>
      <w:r w:rsidR="00E10B0A">
        <w:rPr>
          <w:bCs/>
          <w:sz w:val="24"/>
          <w:lang w:val="en-US" w:eastAsia="ja-JP"/>
        </w:rPr>
        <w:t>slip near the ground affects not only long-period (&gt;1 s) strong-motion generation but also total seismic moment.</w:t>
      </w:r>
      <w:r w:rsidR="000F3E4D">
        <w:rPr>
          <w:bCs/>
          <w:sz w:val="24"/>
          <w:lang w:val="en-US" w:eastAsia="ja-JP"/>
        </w:rPr>
        <w:t xml:space="preserve"> Therefore, it is better to set the upper depth of the fault plane as 0 km in strong-motion evaluation for the earthquake </w:t>
      </w:r>
      <w:r w:rsidR="000C258D">
        <w:rPr>
          <w:bCs/>
          <w:sz w:val="24"/>
          <w:lang w:val="en-US" w:eastAsia="ja-JP"/>
        </w:rPr>
        <w:t xml:space="preserve">occurred in active faults </w:t>
      </w:r>
      <w:r w:rsidR="000F3E4D">
        <w:rPr>
          <w:bCs/>
          <w:sz w:val="24"/>
          <w:lang w:val="en-US" w:eastAsia="ja-JP"/>
        </w:rPr>
        <w:t xml:space="preserve">where clear surface rupture appears. </w:t>
      </w:r>
      <w:r w:rsidR="00D7137F">
        <w:rPr>
          <w:bCs/>
          <w:sz w:val="24"/>
          <w:lang w:val="en-US" w:eastAsia="ja-JP"/>
        </w:rPr>
        <w:t>In this study, we also consider a source model with the upper depth of the fault plane set to 0 km.</w:t>
      </w:r>
      <w:r w:rsidR="00D7137F">
        <w:rPr>
          <w:rFonts w:hint="eastAsia"/>
          <w:bCs/>
          <w:sz w:val="24"/>
          <w:lang w:val="en-US" w:eastAsia="ja-JP"/>
        </w:rPr>
        <w:t xml:space="preserve"> </w:t>
      </w:r>
      <w:r w:rsidR="000F3E4D">
        <w:rPr>
          <w:rFonts w:hint="eastAsia"/>
          <w:bCs/>
          <w:sz w:val="24"/>
          <w:lang w:val="en-US" w:eastAsia="ja-JP"/>
        </w:rPr>
        <w:t>T</w:t>
      </w:r>
      <w:r w:rsidR="000F3E4D">
        <w:rPr>
          <w:bCs/>
          <w:sz w:val="24"/>
          <w:lang w:val="en-US" w:eastAsia="ja-JP"/>
        </w:rPr>
        <w:t>h</w:t>
      </w:r>
      <w:r w:rsidR="000F3E4D">
        <w:rPr>
          <w:rFonts w:hint="eastAsia"/>
          <w:bCs/>
          <w:sz w:val="24"/>
          <w:lang w:val="en-US" w:eastAsia="ja-JP"/>
        </w:rPr>
        <w:t xml:space="preserve">e seismic moment </w:t>
      </w:r>
      <w:r w:rsidR="00C82700">
        <w:rPr>
          <w:rFonts w:hint="eastAsia"/>
          <w:bCs/>
          <w:sz w:val="24"/>
          <w:lang w:val="en-US" w:eastAsia="ja-JP"/>
        </w:rPr>
        <w:t>2.1</w:t>
      </w:r>
      <w:r w:rsidR="00C82700" w:rsidRPr="00C82700">
        <w:rPr>
          <w:rFonts w:cs="Times"/>
          <w:sz w:val="24"/>
          <w:szCs w:val="24"/>
          <w:lang w:val="en-US" w:eastAsia="ja-JP"/>
        </w:rPr>
        <w:t>×</w:t>
      </w:r>
      <w:r w:rsidR="00C82700">
        <w:rPr>
          <w:rFonts w:hint="eastAsia"/>
          <w:bCs/>
          <w:sz w:val="24"/>
          <w:lang w:val="en-US" w:eastAsia="ja-JP"/>
        </w:rPr>
        <w:t>10</w:t>
      </w:r>
      <w:r w:rsidR="00C82700" w:rsidRPr="00C82700">
        <w:rPr>
          <w:rFonts w:hint="eastAsia"/>
          <w:bCs/>
          <w:sz w:val="24"/>
          <w:vertAlign w:val="superscript"/>
          <w:lang w:val="en-US" w:eastAsia="ja-JP"/>
        </w:rPr>
        <w:t>19</w:t>
      </w:r>
      <w:r w:rsidR="00C82700" w:rsidRPr="00C82700">
        <w:rPr>
          <w:rFonts w:cs="Times"/>
          <w:sz w:val="24"/>
          <w:szCs w:val="24"/>
          <w:lang w:val="en-US" w:eastAsia="ja-JP"/>
        </w:rPr>
        <w:t xml:space="preserve"> N</w:t>
      </w:r>
      <w:r w:rsidR="00C82700" w:rsidRPr="00C82700">
        <w:rPr>
          <w:rFonts w:ascii="Courier New" w:hAnsi="Courier New"/>
          <w:sz w:val="24"/>
          <w:szCs w:val="24"/>
          <w:lang w:val="en-US" w:eastAsia="ja-JP"/>
        </w:rPr>
        <w:t>·</w:t>
      </w:r>
      <w:r w:rsidR="00C82700" w:rsidRPr="00C82700">
        <w:rPr>
          <w:rFonts w:cs="Times"/>
          <w:sz w:val="24"/>
          <w:szCs w:val="24"/>
          <w:lang w:val="en-US" w:eastAsia="ja-JP"/>
        </w:rPr>
        <w:t>m</w:t>
      </w:r>
      <w:r w:rsidR="000F3E4D">
        <w:rPr>
          <w:rFonts w:cs="Times"/>
          <w:sz w:val="24"/>
          <w:szCs w:val="24"/>
          <w:lang w:val="en-US" w:eastAsia="ja-JP"/>
        </w:rPr>
        <w:t xml:space="preserve"> is obtained from the empirical relationship for this model. </w:t>
      </w:r>
      <w:r w:rsidR="000C258D">
        <w:rPr>
          <w:rFonts w:cs="Times"/>
          <w:sz w:val="24"/>
          <w:szCs w:val="24"/>
          <w:lang w:val="en-US" w:eastAsia="ja-JP"/>
        </w:rPr>
        <w:t>Although this value is larger than the model in the previous section, it is still about 1/2 of the above-mentioned value estimated from the source inversion analysis.</w:t>
      </w:r>
    </w:p>
    <w:p w:rsidR="00A8604F" w:rsidRPr="00C82700" w:rsidRDefault="00D7137F" w:rsidP="00B71252">
      <w:pPr>
        <w:pStyle w:val="Textkrper"/>
        <w:rPr>
          <w:bCs/>
          <w:sz w:val="24"/>
          <w:lang w:val="en-US" w:eastAsia="ja-JP"/>
        </w:rPr>
      </w:pPr>
      <w:r>
        <w:rPr>
          <w:rFonts w:hint="eastAsia"/>
          <w:bCs/>
          <w:sz w:val="24"/>
          <w:lang w:val="en-US" w:eastAsia="ja-JP"/>
        </w:rPr>
        <w:t xml:space="preserve">In this model, we assume </w:t>
      </w:r>
      <w:r w:rsidR="008E08B0">
        <w:rPr>
          <w:bCs/>
          <w:sz w:val="24"/>
          <w:lang w:val="en-US" w:eastAsia="ja-JP"/>
        </w:rPr>
        <w:t xml:space="preserve">that </w:t>
      </w:r>
      <w:r>
        <w:rPr>
          <w:rFonts w:hint="eastAsia"/>
          <w:bCs/>
          <w:sz w:val="24"/>
          <w:lang w:val="en-US" w:eastAsia="ja-JP"/>
        </w:rPr>
        <w:t xml:space="preserve">the </w:t>
      </w:r>
      <w:r w:rsidR="008E08B0">
        <w:rPr>
          <w:bCs/>
          <w:sz w:val="24"/>
          <w:lang w:val="en-US" w:eastAsia="ja-JP"/>
        </w:rPr>
        <w:t xml:space="preserve">amount of </w:t>
      </w:r>
      <w:r>
        <w:rPr>
          <w:rFonts w:hint="eastAsia"/>
          <w:bCs/>
          <w:sz w:val="24"/>
          <w:lang w:val="en-US" w:eastAsia="ja-JP"/>
        </w:rPr>
        <w:t>slip</w:t>
      </w:r>
      <w:r>
        <w:rPr>
          <w:bCs/>
          <w:sz w:val="24"/>
          <w:lang w:val="en-US" w:eastAsia="ja-JP"/>
        </w:rPr>
        <w:t xml:space="preserve"> shallower than the seismogenic layer is uniform and equal to the average slip of the back-ground region in the seismogenic layer</w:t>
      </w:r>
      <w:r w:rsidR="008E08B0">
        <w:rPr>
          <w:bCs/>
          <w:sz w:val="24"/>
          <w:lang w:val="en-US" w:eastAsia="ja-JP"/>
        </w:rPr>
        <w:t>, and apply a smoothed-ramp function as a slip time function</w:t>
      </w:r>
      <w:r>
        <w:rPr>
          <w:bCs/>
          <w:sz w:val="24"/>
          <w:lang w:val="en-US" w:eastAsia="ja-JP"/>
        </w:rPr>
        <w:t>.</w:t>
      </w:r>
      <w:r w:rsidR="00EC6E00">
        <w:rPr>
          <w:bCs/>
          <w:sz w:val="24"/>
          <w:lang w:val="en-US" w:eastAsia="ja-JP"/>
        </w:rPr>
        <w:t xml:space="preserve"> Also, we assume the effective stress shallower than the seismogenic layer is zero.</w:t>
      </w:r>
    </w:p>
    <w:p w:rsidR="00A8604F" w:rsidRPr="00487E6D" w:rsidRDefault="004C57A4" w:rsidP="00812B3F">
      <w:pPr>
        <w:pStyle w:val="41"/>
        <w:numPr>
          <w:ilvl w:val="0"/>
          <w:numId w:val="42"/>
        </w:numPr>
        <w:rPr>
          <w:lang w:val="en-US"/>
        </w:rPr>
      </w:pPr>
      <w:r>
        <w:rPr>
          <w:lang w:val="en-US"/>
        </w:rPr>
        <w:t xml:space="preserve"> </w:t>
      </w:r>
      <w:r w:rsidR="00C2113E">
        <w:rPr>
          <w:lang w:val="en-US"/>
        </w:rPr>
        <w:t>Source Models Given Seismic Moment</w:t>
      </w:r>
    </w:p>
    <w:p w:rsidR="00B71252" w:rsidRDefault="009B28B7" w:rsidP="009B28B7">
      <w:pPr>
        <w:numPr>
          <w:ilvl w:val="12"/>
          <w:numId w:val="0"/>
        </w:numPr>
        <w:rPr>
          <w:rFonts w:ascii="Times New Roman" w:hAnsi="Times New Roman"/>
          <w:lang w:val="en-US" w:eastAsia="ja-JP"/>
        </w:rPr>
      </w:pPr>
      <w:r>
        <w:rPr>
          <w:lang w:val="en-US" w:eastAsia="ja-JP"/>
        </w:rPr>
        <w:t xml:space="preserve">Since the seismic moment of each source model up to the previous section is smaller than the value estimated from the source inversion analysis, we also consider models given the seismic </w:t>
      </w:r>
      <w:r>
        <w:rPr>
          <w:lang w:val="en-US" w:eastAsia="ja-JP"/>
        </w:rPr>
        <w:lastRenderedPageBreak/>
        <w:t xml:space="preserve">moment </w:t>
      </w:r>
      <w:r w:rsidR="00680AF3">
        <w:rPr>
          <w:rFonts w:hint="eastAsia"/>
          <w:lang w:val="en-US" w:eastAsia="ja-JP"/>
        </w:rPr>
        <w:t>4.5</w:t>
      </w:r>
      <w:r w:rsidR="00680AF3">
        <w:rPr>
          <w:rFonts w:cs="Times"/>
          <w:lang w:val="en-US" w:eastAsia="ja-JP"/>
        </w:rPr>
        <w:t>×</w:t>
      </w:r>
      <w:r w:rsidR="00680AF3">
        <w:rPr>
          <w:rFonts w:ascii="Times New Roman" w:hAnsi="Times New Roman" w:hint="eastAsia"/>
          <w:lang w:val="en-US" w:eastAsia="ja-JP"/>
        </w:rPr>
        <w:t>10</w:t>
      </w:r>
      <w:r w:rsidR="00680AF3" w:rsidRPr="00EA4C56">
        <w:rPr>
          <w:rFonts w:ascii="Times New Roman" w:hAnsi="Times New Roman" w:hint="eastAsia"/>
          <w:vertAlign w:val="superscript"/>
          <w:lang w:val="en-US" w:eastAsia="ja-JP"/>
        </w:rPr>
        <w:t>19</w:t>
      </w:r>
      <w:r w:rsidR="00680AF3" w:rsidRPr="00EA4C56">
        <w:rPr>
          <w:rFonts w:ascii="Times New Roman" w:hAnsi="Times New Roman"/>
          <w:lang w:val="en-US" w:eastAsia="ja-JP"/>
        </w:rPr>
        <w:t xml:space="preserve"> </w:t>
      </w:r>
      <w:r w:rsidR="00680AF3">
        <w:rPr>
          <w:rFonts w:ascii="Times New Roman" w:hAnsi="Times New Roman" w:hint="eastAsia"/>
          <w:lang w:val="en-US" w:eastAsia="ja-JP"/>
        </w:rPr>
        <w:t>N</w:t>
      </w:r>
      <w:r w:rsidR="00680AF3">
        <w:rPr>
          <w:rFonts w:ascii="Courier New" w:hAnsi="Courier New"/>
          <w:lang w:val="en-US" w:eastAsia="ja-JP"/>
        </w:rPr>
        <w:t>·</w:t>
      </w:r>
      <w:r w:rsidR="00680AF3">
        <w:rPr>
          <w:rFonts w:ascii="Times New Roman" w:hAnsi="Times New Roman" w:hint="eastAsia"/>
          <w:lang w:val="en-US" w:eastAsia="ja-JP"/>
        </w:rPr>
        <w:t>m</w:t>
      </w:r>
      <w:r>
        <w:rPr>
          <w:rFonts w:ascii="Times New Roman" w:hAnsi="Times New Roman"/>
          <w:lang w:val="en-US" w:eastAsia="ja-JP"/>
        </w:rPr>
        <w:t xml:space="preserve"> as known without changing the size of each fault</w:t>
      </w:r>
      <w:r w:rsidR="00E674FD">
        <w:rPr>
          <w:rFonts w:ascii="Times New Roman" w:hAnsi="Times New Roman" w:hint="eastAsia"/>
          <w:lang w:val="en-US" w:eastAsia="ja-JP"/>
        </w:rPr>
        <w:t>.</w:t>
      </w:r>
      <w:r w:rsidR="00E674FD">
        <w:rPr>
          <w:rFonts w:ascii="Times New Roman" w:hAnsi="Times New Roman"/>
          <w:lang w:val="en-US" w:eastAsia="ja-JP"/>
        </w:rPr>
        <w:t xml:space="preserve"> </w:t>
      </w:r>
      <w:r w:rsidR="00867079">
        <w:rPr>
          <w:rFonts w:ascii="Times New Roman" w:hAnsi="Times New Roman"/>
          <w:lang w:val="en-US" w:eastAsia="ja-JP"/>
        </w:rPr>
        <w:t>At these models, i</w:t>
      </w:r>
      <w:r>
        <w:rPr>
          <w:rFonts w:ascii="Times New Roman" w:hAnsi="Times New Roman"/>
          <w:lang w:val="en-US" w:eastAsia="ja-JP"/>
        </w:rPr>
        <w:t xml:space="preserve">f the average stress drop on the entire fault is calculated </w:t>
      </w:r>
      <w:r w:rsidR="00867079">
        <w:rPr>
          <w:rFonts w:ascii="Times New Roman" w:hAnsi="Times New Roman"/>
          <w:lang w:val="en-US" w:eastAsia="ja-JP"/>
        </w:rPr>
        <w:t xml:space="preserve">by an equation </w:t>
      </w:r>
      <w:r>
        <w:rPr>
          <w:rFonts w:ascii="Times New Roman" w:hAnsi="Times New Roman"/>
          <w:lang w:val="en-US" w:eastAsia="ja-JP"/>
        </w:rPr>
        <w:t>assum</w:t>
      </w:r>
      <w:r w:rsidR="00867079">
        <w:rPr>
          <w:rFonts w:ascii="Times New Roman" w:hAnsi="Times New Roman"/>
          <w:lang w:val="en-US" w:eastAsia="ja-JP"/>
        </w:rPr>
        <w:t>ing circular crack, the slip amount of the background region in the seismogenic layer becomes negative. As a provisional workaround in such a case, the recipe shows a method of assuming that the average stress drop is 3.1 MP</w:t>
      </w:r>
      <w:r w:rsidR="00867079" w:rsidRPr="00043E25">
        <w:rPr>
          <w:rFonts w:ascii="Times New Roman" w:hAnsi="Times New Roman"/>
          <w:lang w:val="en-US" w:eastAsia="ja-JP"/>
        </w:rPr>
        <w:t>a [</w:t>
      </w:r>
      <w:r w:rsidR="00043E25" w:rsidRPr="00043E25">
        <w:rPr>
          <w:rFonts w:ascii="Times New Roman" w:hAnsi="Times New Roman"/>
          <w:lang w:val="en-US" w:eastAsia="ja-JP"/>
        </w:rPr>
        <w:t>11</w:t>
      </w:r>
      <w:r w:rsidR="00867079" w:rsidRPr="00043E25">
        <w:rPr>
          <w:rFonts w:ascii="Times New Roman" w:hAnsi="Times New Roman"/>
          <w:lang w:val="en-US" w:eastAsia="ja-JP"/>
        </w:rPr>
        <w:t>] an</w:t>
      </w:r>
      <w:r w:rsidR="00867079">
        <w:rPr>
          <w:rFonts w:ascii="Times New Roman" w:hAnsi="Times New Roman"/>
          <w:lang w:val="en-US" w:eastAsia="ja-JP"/>
        </w:rPr>
        <w:t>d the asperity area is 22% of the entire source area</w:t>
      </w:r>
      <w:r w:rsidR="00867079" w:rsidRPr="00043E25">
        <w:rPr>
          <w:rFonts w:ascii="Times New Roman" w:hAnsi="Times New Roman"/>
          <w:lang w:val="en-US" w:eastAsia="ja-JP"/>
        </w:rPr>
        <w:t xml:space="preserve"> [</w:t>
      </w:r>
      <w:r w:rsidR="00043E25" w:rsidRPr="00043E25">
        <w:rPr>
          <w:rFonts w:ascii="Times New Roman" w:hAnsi="Times New Roman"/>
          <w:lang w:val="en-US" w:eastAsia="ja-JP"/>
        </w:rPr>
        <w:t>12</w:t>
      </w:r>
      <w:r w:rsidR="00867079" w:rsidRPr="00043E25">
        <w:rPr>
          <w:rFonts w:ascii="Times New Roman" w:hAnsi="Times New Roman"/>
          <w:lang w:val="en-US" w:eastAsia="ja-JP"/>
        </w:rPr>
        <w:t>].</w:t>
      </w:r>
      <w:r w:rsidR="00867079">
        <w:rPr>
          <w:rFonts w:ascii="Times New Roman" w:hAnsi="Times New Roman"/>
          <w:lang w:val="en-US" w:eastAsia="ja-JP"/>
        </w:rPr>
        <w:t xml:space="preserve"> So we apply the method here. The four source models set by the above are summarized in Table </w:t>
      </w:r>
      <w:r w:rsidR="00680AF3">
        <w:rPr>
          <w:rFonts w:ascii="Times New Roman" w:hAnsi="Times New Roman" w:hint="eastAsia"/>
          <w:lang w:val="en-US" w:eastAsia="ja-JP"/>
        </w:rPr>
        <w:t>1</w:t>
      </w:r>
      <w:r w:rsidR="00867079">
        <w:rPr>
          <w:rFonts w:ascii="Times New Roman" w:hAnsi="Times New Roman"/>
          <w:lang w:val="en-US" w:eastAsia="ja-JP"/>
        </w:rPr>
        <w:t xml:space="preserve"> and </w:t>
      </w:r>
      <w:r w:rsidR="00B71252" w:rsidRPr="00867079">
        <w:rPr>
          <w:rFonts w:ascii="Times New Roman" w:hAnsi="Times New Roman" w:hint="eastAsia"/>
          <w:i/>
          <w:lang w:val="en-US" w:eastAsia="ja-JP"/>
        </w:rPr>
        <w:t>FIG.</w:t>
      </w:r>
      <w:r w:rsidR="00E674FD" w:rsidRPr="00867079">
        <w:rPr>
          <w:rFonts w:ascii="Times New Roman" w:hAnsi="Times New Roman" w:hint="eastAsia"/>
          <w:i/>
          <w:lang w:val="en-US" w:eastAsia="ja-JP"/>
        </w:rPr>
        <w:t>1</w:t>
      </w:r>
      <w:r w:rsidR="00867079">
        <w:rPr>
          <w:rFonts w:ascii="Times New Roman" w:hAnsi="Times New Roman"/>
          <w:lang w:val="en-US" w:eastAsia="ja-JP"/>
        </w:rPr>
        <w:t xml:space="preserve">. </w:t>
      </w:r>
      <w:r w:rsidR="00574741">
        <w:rPr>
          <w:rFonts w:ascii="Times New Roman" w:hAnsi="Times New Roman" w:hint="eastAsia"/>
          <w:lang w:val="en-US" w:eastAsia="ja-JP"/>
        </w:rPr>
        <w:t xml:space="preserve">As shown in </w:t>
      </w:r>
      <w:r w:rsidR="00574741" w:rsidRPr="00C47455">
        <w:rPr>
          <w:rFonts w:ascii="Times New Roman" w:hAnsi="Times New Roman" w:hint="eastAsia"/>
          <w:i/>
          <w:lang w:val="en-US" w:eastAsia="ja-JP"/>
        </w:rPr>
        <w:t>FIG.1</w:t>
      </w:r>
      <w:r w:rsidR="00574741">
        <w:rPr>
          <w:rFonts w:ascii="Times New Roman" w:hAnsi="Times New Roman" w:hint="eastAsia"/>
          <w:lang w:val="en-US" w:eastAsia="ja-JP"/>
        </w:rPr>
        <w:t xml:space="preserve">, </w:t>
      </w:r>
      <w:r w:rsidR="00574741">
        <w:rPr>
          <w:rFonts w:ascii="Times New Roman" w:hAnsi="Times New Roman"/>
          <w:lang w:val="en-US" w:eastAsia="ja-JP"/>
        </w:rPr>
        <w:t xml:space="preserve">the </w:t>
      </w:r>
      <w:r>
        <w:rPr>
          <w:rFonts w:ascii="Times New Roman" w:hAnsi="Times New Roman"/>
          <w:lang w:val="en-US" w:eastAsia="ja-JP"/>
        </w:rPr>
        <w:t>r</w:t>
      </w:r>
      <w:r w:rsidR="00574741">
        <w:rPr>
          <w:rFonts w:ascii="Times New Roman" w:hAnsi="Times New Roman"/>
          <w:lang w:val="en-US" w:eastAsia="ja-JP"/>
        </w:rPr>
        <w:t xml:space="preserve">ecipe employs the characterized source model which is composed of </w:t>
      </w:r>
      <w:r w:rsidR="00C47455">
        <w:rPr>
          <w:rFonts w:ascii="Times New Roman" w:hAnsi="Times New Roman"/>
          <w:lang w:val="en-US" w:eastAsia="ja-JP"/>
        </w:rPr>
        <w:t xml:space="preserve">multiple </w:t>
      </w:r>
      <w:r w:rsidR="00574741">
        <w:rPr>
          <w:rFonts w:ascii="Times New Roman" w:hAnsi="Times New Roman"/>
          <w:lang w:val="en-US" w:eastAsia="ja-JP"/>
        </w:rPr>
        <w:t xml:space="preserve">asperities and </w:t>
      </w:r>
      <w:r w:rsidR="00C47455">
        <w:rPr>
          <w:rFonts w:ascii="Times New Roman" w:hAnsi="Times New Roman"/>
          <w:lang w:val="en-US" w:eastAsia="ja-JP"/>
        </w:rPr>
        <w:t>surrounding background area. The asperities are defined as regions that have a larger slip than the average slip of the entire rupture area. In this model, asperities with large slips generate long-period as well as short-period seismic-wave radiations due to high stress drop.</w:t>
      </w:r>
    </w:p>
    <w:p w:rsidR="00B71252" w:rsidRDefault="00B71252" w:rsidP="00B71252">
      <w:pPr>
        <w:pStyle w:val="Textkrper"/>
        <w:jc w:val="center"/>
        <w:rPr>
          <w:rFonts w:ascii="Times New Roman" w:hAnsi="Times New Roman"/>
          <w:sz w:val="22"/>
          <w:lang w:val="en-US"/>
        </w:rPr>
      </w:pPr>
      <w:r>
        <w:rPr>
          <w:rFonts w:ascii="Times New Roman" w:hAnsi="Times New Roman"/>
          <w:sz w:val="22"/>
          <w:lang w:val="en-US"/>
        </w:rPr>
        <w:t xml:space="preserve">TABLE 1: </w:t>
      </w:r>
      <w:r w:rsidR="00574741">
        <w:rPr>
          <w:rFonts w:ascii="Times New Roman" w:hAnsi="Times New Roman"/>
          <w:sz w:val="22"/>
          <w:lang w:val="en-US"/>
        </w:rPr>
        <w:t xml:space="preserve">MAJOR </w:t>
      </w:r>
      <w:r>
        <w:rPr>
          <w:rFonts w:ascii="Times New Roman" w:hAnsi="Times New Roman" w:hint="eastAsia"/>
          <w:sz w:val="22"/>
          <w:lang w:val="en-US" w:eastAsia="ja-JP"/>
        </w:rPr>
        <w:t>SOURCE PARAMETERS FOR</w:t>
      </w:r>
      <w:r>
        <w:rPr>
          <w:rFonts w:ascii="Times New Roman" w:hAnsi="Times New Roman"/>
          <w:sz w:val="22"/>
          <w:lang w:val="en-US"/>
        </w:rPr>
        <w:t xml:space="preserve"> 4 MODELS. </w:t>
      </w:r>
    </w:p>
    <w:p w:rsidR="00B71252" w:rsidRDefault="00B71252" w:rsidP="00B71252">
      <w:pPr>
        <w:pStyle w:val="Textkrper"/>
        <w:rPr>
          <w:rFonts w:ascii="Times New Roman" w:hAnsi="Times New Roman"/>
          <w:sz w:val="16"/>
          <w:lang w:val="en-US"/>
        </w:rPr>
      </w:pPr>
    </w:p>
    <w:tbl>
      <w:tblPr>
        <w:tblW w:w="8786" w:type="dxa"/>
        <w:jc w:val="center"/>
        <w:tblLayout w:type="fixed"/>
        <w:tblCellMar>
          <w:left w:w="0" w:type="dxa"/>
          <w:right w:w="0" w:type="dxa"/>
        </w:tblCellMar>
        <w:tblLook w:val="0000" w:firstRow="0" w:lastRow="0" w:firstColumn="0" w:lastColumn="0" w:noHBand="0" w:noVBand="0"/>
      </w:tblPr>
      <w:tblGrid>
        <w:gridCol w:w="3118"/>
        <w:gridCol w:w="1417"/>
        <w:gridCol w:w="1417"/>
        <w:gridCol w:w="1417"/>
        <w:gridCol w:w="1417"/>
      </w:tblGrid>
      <w:tr w:rsidR="00B71252" w:rsidTr="00E86D84">
        <w:trPr>
          <w:jc w:val="center"/>
        </w:trPr>
        <w:tc>
          <w:tcPr>
            <w:tcW w:w="3118" w:type="dxa"/>
            <w:tcBorders>
              <w:top w:val="single" w:sz="6" w:space="0" w:color="000000"/>
              <w:left w:val="single" w:sz="6" w:space="0" w:color="000000"/>
              <w:bottom w:val="single" w:sz="6" w:space="0" w:color="000000"/>
              <w:right w:val="nil"/>
            </w:tcBorders>
          </w:tcPr>
          <w:p w:rsidR="00B71252" w:rsidRDefault="00B71252" w:rsidP="00E86D84">
            <w:pPr>
              <w:pStyle w:val="Textkrper"/>
              <w:rPr>
                <w:rFonts w:ascii="Times New Roman" w:hAnsi="Times New Roman"/>
                <w:b/>
                <w:sz w:val="24"/>
                <w:lang w:val="en-US"/>
              </w:rPr>
            </w:pPr>
          </w:p>
        </w:tc>
        <w:tc>
          <w:tcPr>
            <w:tcW w:w="1417" w:type="dxa"/>
            <w:tcBorders>
              <w:top w:val="single" w:sz="6" w:space="0" w:color="000000"/>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b/>
                <w:sz w:val="24"/>
                <w:lang w:val="en-US"/>
              </w:rPr>
            </w:pPr>
            <w:r>
              <w:rPr>
                <w:rFonts w:ascii="Times New Roman" w:hAnsi="Times New Roman"/>
                <w:b/>
                <w:sz w:val="24"/>
                <w:lang w:val="en-US"/>
              </w:rPr>
              <w:t>M1-0kW18</w:t>
            </w:r>
          </w:p>
        </w:tc>
        <w:tc>
          <w:tcPr>
            <w:tcW w:w="1417" w:type="dxa"/>
            <w:tcBorders>
              <w:top w:val="single" w:sz="6" w:space="0" w:color="000000"/>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b/>
                <w:sz w:val="24"/>
                <w:lang w:val="en-US" w:eastAsia="ja-JP"/>
              </w:rPr>
            </w:pPr>
            <w:r>
              <w:rPr>
                <w:rFonts w:ascii="Times New Roman" w:hAnsi="Times New Roman" w:hint="eastAsia"/>
                <w:b/>
                <w:sz w:val="24"/>
                <w:lang w:val="en-US" w:eastAsia="ja-JP"/>
              </w:rPr>
              <w:t>M1-2kW16</w:t>
            </w:r>
          </w:p>
        </w:tc>
        <w:tc>
          <w:tcPr>
            <w:tcW w:w="1417" w:type="dxa"/>
            <w:tcBorders>
              <w:top w:val="single" w:sz="6" w:space="0" w:color="000000"/>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b/>
                <w:sz w:val="24"/>
                <w:lang w:val="en-US" w:eastAsia="ja-JP"/>
              </w:rPr>
            </w:pPr>
            <w:r>
              <w:rPr>
                <w:rFonts w:ascii="Times New Roman" w:hAnsi="Times New Roman" w:hint="eastAsia"/>
                <w:b/>
                <w:sz w:val="24"/>
                <w:lang w:val="en-US" w:eastAsia="ja-JP"/>
              </w:rPr>
              <w:t>M2-0kW18</w:t>
            </w:r>
          </w:p>
        </w:tc>
        <w:tc>
          <w:tcPr>
            <w:tcW w:w="1417" w:type="dxa"/>
            <w:tcBorders>
              <w:top w:val="single" w:sz="6" w:space="0" w:color="000000"/>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b/>
                <w:sz w:val="24"/>
                <w:lang w:val="en-US" w:eastAsia="ja-JP"/>
              </w:rPr>
            </w:pPr>
            <w:r>
              <w:rPr>
                <w:rFonts w:ascii="Times New Roman" w:hAnsi="Times New Roman" w:hint="eastAsia"/>
                <w:b/>
                <w:sz w:val="24"/>
                <w:lang w:val="en-US" w:eastAsia="ja-JP"/>
              </w:rPr>
              <w:t>M2-2kW16</w:t>
            </w:r>
          </w:p>
        </w:tc>
      </w:tr>
      <w:tr w:rsidR="00C21B50" w:rsidTr="00E86D84">
        <w:trPr>
          <w:jc w:val="center"/>
        </w:trPr>
        <w:tc>
          <w:tcPr>
            <w:tcW w:w="3118" w:type="dxa"/>
            <w:tcBorders>
              <w:top w:val="single" w:sz="6" w:space="0" w:color="000000"/>
              <w:left w:val="single" w:sz="6" w:space="0" w:color="000000"/>
              <w:bottom w:val="single" w:sz="6" w:space="0" w:color="000000"/>
              <w:right w:val="nil"/>
            </w:tcBorders>
          </w:tcPr>
          <w:p w:rsidR="00C21B50" w:rsidRPr="00C21B50" w:rsidRDefault="00C21B50" w:rsidP="00E86D84">
            <w:pPr>
              <w:pStyle w:val="Textkrper"/>
              <w:rPr>
                <w:rFonts w:ascii="Times New Roman" w:hAnsi="Times New Roman"/>
                <w:sz w:val="24"/>
                <w:lang w:val="en-US" w:eastAsia="ja-JP"/>
              </w:rPr>
            </w:pPr>
            <w:r w:rsidRPr="00C21B50">
              <w:rPr>
                <w:rFonts w:ascii="Times New Roman" w:hAnsi="Times New Roman" w:hint="eastAsia"/>
                <w:sz w:val="24"/>
                <w:lang w:val="en-US" w:eastAsia="ja-JP"/>
              </w:rPr>
              <w:t xml:space="preserve"> Strike</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233.2</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233.2</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233.2</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233.2</w:t>
            </w:r>
          </w:p>
        </w:tc>
      </w:tr>
      <w:tr w:rsidR="00C21B50" w:rsidTr="00E86D84">
        <w:trPr>
          <w:jc w:val="center"/>
        </w:trPr>
        <w:tc>
          <w:tcPr>
            <w:tcW w:w="3118" w:type="dxa"/>
            <w:tcBorders>
              <w:top w:val="single" w:sz="6" w:space="0" w:color="000000"/>
              <w:left w:val="single" w:sz="6" w:space="0" w:color="000000"/>
              <w:bottom w:val="single" w:sz="6" w:space="0" w:color="000000"/>
              <w:right w:val="nil"/>
            </w:tcBorders>
          </w:tcPr>
          <w:p w:rsidR="00C21B50" w:rsidRPr="00C21B50" w:rsidRDefault="00C21B50" w:rsidP="00E86D84">
            <w:pPr>
              <w:pStyle w:val="Textkrper"/>
              <w:rPr>
                <w:rFonts w:ascii="Times New Roman" w:hAnsi="Times New Roman"/>
                <w:sz w:val="24"/>
                <w:lang w:val="en-US" w:eastAsia="ja-JP"/>
              </w:rPr>
            </w:pPr>
            <w:r w:rsidRPr="00C21B50">
              <w:rPr>
                <w:rFonts w:ascii="Times New Roman" w:hAnsi="Times New Roman" w:hint="eastAsia"/>
                <w:sz w:val="24"/>
                <w:lang w:val="en-US" w:eastAsia="ja-JP"/>
              </w:rPr>
              <w:t xml:space="preserve"> Dip</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90</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90</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90</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90</w:t>
            </w:r>
          </w:p>
        </w:tc>
      </w:tr>
      <w:tr w:rsidR="00C21B50" w:rsidTr="00E86D84">
        <w:trPr>
          <w:jc w:val="center"/>
        </w:trPr>
        <w:tc>
          <w:tcPr>
            <w:tcW w:w="3118" w:type="dxa"/>
            <w:tcBorders>
              <w:top w:val="single" w:sz="6" w:space="0" w:color="000000"/>
              <w:left w:val="single" w:sz="6" w:space="0" w:color="000000"/>
              <w:bottom w:val="single" w:sz="6" w:space="0" w:color="000000"/>
              <w:right w:val="nil"/>
            </w:tcBorders>
          </w:tcPr>
          <w:p w:rsidR="00C21B50" w:rsidRPr="00C21B50" w:rsidRDefault="00C21B50" w:rsidP="00E86D84">
            <w:pPr>
              <w:pStyle w:val="Textkrper"/>
              <w:rPr>
                <w:rFonts w:ascii="Times New Roman" w:hAnsi="Times New Roman"/>
                <w:sz w:val="24"/>
                <w:lang w:val="en-US" w:eastAsia="ja-JP"/>
              </w:rPr>
            </w:pPr>
            <w:r w:rsidRPr="00C21B50">
              <w:rPr>
                <w:rFonts w:ascii="Times New Roman" w:hAnsi="Times New Roman" w:hint="eastAsia"/>
                <w:sz w:val="24"/>
                <w:lang w:val="en-US" w:eastAsia="ja-JP"/>
              </w:rPr>
              <w:t xml:space="preserve"> Rake</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-160</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-160</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-160</w:t>
            </w:r>
          </w:p>
        </w:tc>
        <w:tc>
          <w:tcPr>
            <w:tcW w:w="1417" w:type="dxa"/>
            <w:tcBorders>
              <w:top w:val="single" w:sz="6" w:space="0" w:color="000000"/>
              <w:left w:val="single" w:sz="6" w:space="0" w:color="000000"/>
              <w:bottom w:val="single" w:sz="6" w:space="0" w:color="000000"/>
              <w:right w:val="single" w:sz="6" w:space="0" w:color="000000"/>
            </w:tcBorders>
          </w:tcPr>
          <w:p w:rsidR="00C21B50" w:rsidRPr="00C21B50" w:rsidRDefault="00C21B50" w:rsidP="00E86D84">
            <w:pPr>
              <w:pStyle w:val="Textkrper"/>
              <w:jc w:val="center"/>
              <w:rPr>
                <w:rFonts w:ascii="Times New Roman" w:hAnsi="Times New Roman"/>
                <w:sz w:val="24"/>
                <w:lang w:val="en-US" w:eastAsia="ja-JP"/>
              </w:rPr>
            </w:pPr>
            <w:r w:rsidRPr="00C21B50">
              <w:rPr>
                <w:rFonts w:ascii="Times New Roman" w:hAnsi="Times New Roman" w:hint="eastAsia"/>
                <w:sz w:val="24"/>
                <w:lang w:val="en-US" w:eastAsia="ja-JP"/>
              </w:rPr>
              <w:t>-160</w:t>
            </w:r>
          </w:p>
        </w:tc>
      </w:tr>
      <w:tr w:rsidR="00B71252" w:rsidTr="00E86D84">
        <w:trPr>
          <w:jc w:val="center"/>
        </w:trPr>
        <w:tc>
          <w:tcPr>
            <w:tcW w:w="3118" w:type="dxa"/>
            <w:tcBorders>
              <w:top w:val="nil"/>
              <w:left w:val="single" w:sz="6" w:space="0" w:color="000000"/>
              <w:bottom w:val="single" w:sz="6" w:space="0" w:color="000000"/>
              <w:right w:val="nil"/>
            </w:tcBorders>
          </w:tcPr>
          <w:p w:rsidR="00B71252" w:rsidRDefault="00B71252" w:rsidP="00E86D84">
            <w:pPr>
              <w:pStyle w:val="Textkrper"/>
              <w:rPr>
                <w:rFonts w:ascii="Times New Roman" w:hAnsi="Times New Roman"/>
                <w:sz w:val="24"/>
                <w:lang w:val="en-US"/>
              </w:rPr>
            </w:pPr>
            <w:r>
              <w:rPr>
                <w:rFonts w:ascii="Times New Roman" w:hAnsi="Times New Roman"/>
                <w:sz w:val="24"/>
                <w:lang w:val="en-US"/>
              </w:rPr>
              <w:t xml:space="preserve"> </w:t>
            </w:r>
            <w:r>
              <w:rPr>
                <w:rFonts w:ascii="Times New Roman" w:hAnsi="Times New Roman" w:hint="eastAsia"/>
                <w:sz w:val="24"/>
                <w:lang w:val="en-US" w:eastAsia="ja-JP"/>
              </w:rPr>
              <w:t xml:space="preserve">Upper depth of </w:t>
            </w:r>
            <w:r>
              <w:rPr>
                <w:rFonts w:ascii="Times New Roman" w:hAnsi="Times New Roman"/>
                <w:sz w:val="24"/>
                <w:lang w:val="en-US" w:eastAsia="ja-JP"/>
              </w:rPr>
              <w:t xml:space="preserve">the </w:t>
            </w:r>
            <w:r>
              <w:rPr>
                <w:rFonts w:ascii="Times New Roman" w:hAnsi="Times New Roman" w:hint="eastAsia"/>
                <w:sz w:val="24"/>
                <w:lang w:val="en-US" w:eastAsia="ja-JP"/>
              </w:rPr>
              <w:t>fault</w:t>
            </w:r>
            <w:r>
              <w:rPr>
                <w:rFonts w:ascii="Times New Roman" w:hAnsi="Times New Roman"/>
                <w:sz w:val="24"/>
                <w:lang w:val="en-US" w:eastAsia="ja-JP"/>
              </w:rPr>
              <w:t xml:space="preserve"> [km]</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rPr>
            </w:pPr>
            <w:r>
              <w:rPr>
                <w:rFonts w:ascii="Times New Roman" w:hAnsi="Times New Roman"/>
                <w:sz w:val="24"/>
                <w:lang w:val="en-US"/>
              </w:rPr>
              <w:t>0</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2</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0</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2</w:t>
            </w:r>
          </w:p>
        </w:tc>
      </w:tr>
      <w:tr w:rsidR="00B71252" w:rsidTr="00E86D84">
        <w:trPr>
          <w:jc w:val="center"/>
        </w:trPr>
        <w:tc>
          <w:tcPr>
            <w:tcW w:w="3118" w:type="dxa"/>
            <w:tcBorders>
              <w:top w:val="nil"/>
              <w:left w:val="single" w:sz="6" w:space="0" w:color="000000"/>
              <w:bottom w:val="single" w:sz="6" w:space="0" w:color="000000"/>
              <w:right w:val="nil"/>
            </w:tcBorders>
          </w:tcPr>
          <w:p w:rsidR="00B71252" w:rsidRDefault="00B71252" w:rsidP="00574741">
            <w:pPr>
              <w:pStyle w:val="Textkrper"/>
              <w:rPr>
                <w:rFonts w:ascii="Times New Roman" w:hAnsi="Times New Roman"/>
                <w:sz w:val="24"/>
                <w:lang w:val="en-US"/>
              </w:rPr>
            </w:pPr>
            <w:r>
              <w:rPr>
                <w:rFonts w:ascii="Times New Roman" w:hAnsi="Times New Roman"/>
                <w:sz w:val="24"/>
                <w:lang w:val="en-US"/>
              </w:rPr>
              <w:t xml:space="preserve"> </w:t>
            </w:r>
            <w:r w:rsidR="00574741">
              <w:rPr>
                <w:rFonts w:ascii="Times New Roman" w:hAnsi="Times New Roman"/>
                <w:sz w:val="24"/>
                <w:lang w:val="en-US"/>
              </w:rPr>
              <w:t>Fault le</w:t>
            </w:r>
            <w:r>
              <w:rPr>
                <w:rFonts w:ascii="Times New Roman" w:hAnsi="Times New Roman"/>
                <w:sz w:val="24"/>
                <w:lang w:val="en-US"/>
              </w:rPr>
              <w:t>ngth [km]</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rPr>
            </w:pPr>
            <w:r>
              <w:rPr>
                <w:rFonts w:ascii="Times New Roman" w:hAnsi="Times New Roman"/>
                <w:sz w:val="24"/>
                <w:lang w:val="en-US"/>
              </w:rPr>
              <w:t>34</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34</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34</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34</w:t>
            </w:r>
          </w:p>
        </w:tc>
      </w:tr>
      <w:tr w:rsidR="00B71252" w:rsidTr="00E86D84">
        <w:trPr>
          <w:jc w:val="center"/>
        </w:trPr>
        <w:tc>
          <w:tcPr>
            <w:tcW w:w="3118" w:type="dxa"/>
            <w:tcBorders>
              <w:top w:val="nil"/>
              <w:left w:val="single" w:sz="6" w:space="0" w:color="000000"/>
              <w:bottom w:val="single" w:sz="6" w:space="0" w:color="000000"/>
              <w:right w:val="nil"/>
            </w:tcBorders>
          </w:tcPr>
          <w:p w:rsidR="00B71252" w:rsidRDefault="00B71252" w:rsidP="00574741">
            <w:pPr>
              <w:pStyle w:val="Textkrper"/>
              <w:rPr>
                <w:rFonts w:ascii="Times New Roman" w:hAnsi="Times New Roman"/>
                <w:sz w:val="24"/>
                <w:lang w:val="en-US"/>
              </w:rPr>
            </w:pPr>
            <w:r>
              <w:rPr>
                <w:rFonts w:ascii="Times New Roman" w:hAnsi="Times New Roman"/>
                <w:sz w:val="24"/>
                <w:lang w:val="en-US"/>
              </w:rPr>
              <w:t xml:space="preserve"> </w:t>
            </w:r>
            <w:r w:rsidR="00574741">
              <w:rPr>
                <w:rFonts w:ascii="Times New Roman" w:hAnsi="Times New Roman"/>
                <w:sz w:val="24"/>
                <w:lang w:val="en-US"/>
              </w:rPr>
              <w:t>Fault w</w:t>
            </w:r>
            <w:r>
              <w:rPr>
                <w:rFonts w:ascii="Times New Roman" w:hAnsi="Times New Roman"/>
                <w:sz w:val="24"/>
                <w:lang w:val="en-US"/>
              </w:rPr>
              <w:t>idth [km]</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rPr>
            </w:pPr>
            <w:r>
              <w:rPr>
                <w:rFonts w:ascii="Times New Roman" w:hAnsi="Times New Roman"/>
                <w:sz w:val="24"/>
                <w:lang w:val="en-US"/>
              </w:rPr>
              <w:t>18</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16</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18</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16</w:t>
            </w:r>
          </w:p>
        </w:tc>
      </w:tr>
      <w:tr w:rsidR="00B71252" w:rsidTr="00E86D84">
        <w:trPr>
          <w:jc w:val="center"/>
        </w:trPr>
        <w:tc>
          <w:tcPr>
            <w:tcW w:w="3118" w:type="dxa"/>
            <w:tcBorders>
              <w:top w:val="nil"/>
              <w:left w:val="single" w:sz="6" w:space="0" w:color="000000"/>
              <w:bottom w:val="single" w:sz="6" w:space="0" w:color="000000"/>
              <w:right w:val="nil"/>
            </w:tcBorders>
          </w:tcPr>
          <w:p w:rsidR="00B71252" w:rsidRDefault="00B71252" w:rsidP="00E86D84">
            <w:pPr>
              <w:pStyle w:val="Textkrper"/>
              <w:rPr>
                <w:rFonts w:ascii="Times New Roman" w:hAnsi="Times New Roman"/>
                <w:sz w:val="24"/>
                <w:lang w:val="en-US"/>
              </w:rPr>
            </w:pPr>
            <w:r>
              <w:rPr>
                <w:rFonts w:ascii="Times New Roman" w:hAnsi="Times New Roman"/>
                <w:sz w:val="24"/>
                <w:lang w:val="en-US"/>
              </w:rPr>
              <w:t xml:space="preserve"> Seismic moment [</w:t>
            </w:r>
            <w:r w:rsidRPr="00C82700">
              <w:rPr>
                <w:rFonts w:cs="Times"/>
                <w:sz w:val="24"/>
                <w:szCs w:val="24"/>
                <w:lang w:val="en-US" w:eastAsia="ja-JP"/>
              </w:rPr>
              <w:t>×</w:t>
            </w:r>
            <w:r>
              <w:rPr>
                <w:rFonts w:ascii="Times New Roman" w:hAnsi="Times New Roman"/>
                <w:sz w:val="24"/>
                <w:lang w:val="en-US"/>
              </w:rPr>
              <w:t>10</w:t>
            </w:r>
            <w:r w:rsidRPr="00B71252">
              <w:rPr>
                <w:rFonts w:ascii="Times New Roman" w:hAnsi="Times New Roman"/>
                <w:sz w:val="24"/>
                <w:vertAlign w:val="superscript"/>
                <w:lang w:val="en-US"/>
              </w:rPr>
              <w:t>19</w:t>
            </w:r>
            <w:r>
              <w:rPr>
                <w:rFonts w:ascii="Times New Roman" w:hAnsi="Times New Roman"/>
                <w:sz w:val="24"/>
                <w:lang w:val="en-US"/>
              </w:rPr>
              <w:t xml:space="preserve"> Nm]</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rPr>
            </w:pPr>
            <w:r>
              <w:rPr>
                <w:rFonts w:ascii="Times New Roman" w:hAnsi="Times New Roman"/>
                <w:sz w:val="24"/>
                <w:lang w:val="en-US"/>
              </w:rPr>
              <w:t>2.1</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1.7</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4.5</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4.5</w:t>
            </w:r>
          </w:p>
        </w:tc>
      </w:tr>
      <w:tr w:rsidR="00B71252" w:rsidTr="00E86D84">
        <w:trPr>
          <w:jc w:val="center"/>
        </w:trPr>
        <w:tc>
          <w:tcPr>
            <w:tcW w:w="3118" w:type="dxa"/>
            <w:tcBorders>
              <w:top w:val="nil"/>
              <w:left w:val="single" w:sz="6" w:space="0" w:color="000000"/>
              <w:bottom w:val="single" w:sz="6" w:space="0" w:color="000000"/>
              <w:right w:val="nil"/>
            </w:tcBorders>
          </w:tcPr>
          <w:p w:rsidR="00B71252" w:rsidRDefault="00B71252" w:rsidP="00E86D84">
            <w:pPr>
              <w:pStyle w:val="Textkrper"/>
              <w:rPr>
                <w:rFonts w:ascii="Times New Roman" w:hAnsi="Times New Roman"/>
                <w:sz w:val="24"/>
                <w:lang w:val="en-US" w:eastAsia="ja-JP"/>
              </w:rPr>
            </w:pPr>
            <w:r>
              <w:rPr>
                <w:rFonts w:ascii="Times New Roman" w:hAnsi="Times New Roman" w:hint="eastAsia"/>
                <w:sz w:val="24"/>
                <w:lang w:val="en-US" w:eastAsia="ja-JP"/>
              </w:rPr>
              <w:t xml:space="preserve"> Average slip [m]</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1.</w:t>
            </w:r>
            <w:r>
              <w:rPr>
                <w:rFonts w:ascii="Times New Roman" w:hAnsi="Times New Roman"/>
                <w:sz w:val="24"/>
                <w:lang w:val="en-US" w:eastAsia="ja-JP"/>
              </w:rPr>
              <w:t>09</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0.97</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2.36</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2.65</w:t>
            </w:r>
          </w:p>
        </w:tc>
      </w:tr>
      <w:tr w:rsidR="00B71252" w:rsidTr="00E86D84">
        <w:trPr>
          <w:jc w:val="center"/>
        </w:trPr>
        <w:tc>
          <w:tcPr>
            <w:tcW w:w="3118" w:type="dxa"/>
            <w:tcBorders>
              <w:top w:val="nil"/>
              <w:left w:val="single" w:sz="6" w:space="0" w:color="000000"/>
              <w:bottom w:val="single" w:sz="6" w:space="0" w:color="000000"/>
              <w:right w:val="nil"/>
            </w:tcBorders>
          </w:tcPr>
          <w:p w:rsidR="00B71252" w:rsidRDefault="00B71252" w:rsidP="00E86D84">
            <w:pPr>
              <w:pStyle w:val="Textkrper"/>
              <w:rPr>
                <w:rFonts w:ascii="Times New Roman" w:hAnsi="Times New Roman"/>
                <w:sz w:val="24"/>
                <w:lang w:val="en-US" w:eastAsia="ja-JP"/>
              </w:rPr>
            </w:pPr>
            <w:r>
              <w:rPr>
                <w:rFonts w:ascii="Times New Roman" w:hAnsi="Times New Roman" w:hint="eastAsia"/>
                <w:sz w:val="24"/>
                <w:lang w:val="en-US" w:eastAsia="ja-JP"/>
              </w:rPr>
              <w:t xml:space="preserve"> </w:t>
            </w:r>
            <w:r>
              <w:rPr>
                <w:rFonts w:ascii="Times New Roman" w:hAnsi="Times New Roman"/>
                <w:sz w:val="24"/>
                <w:lang w:val="en-US" w:eastAsia="ja-JP"/>
              </w:rPr>
              <w:t xml:space="preserve">Average </w:t>
            </w:r>
            <w:r>
              <w:rPr>
                <w:rFonts w:ascii="Times New Roman" w:hAnsi="Times New Roman" w:hint="eastAsia"/>
                <w:sz w:val="24"/>
                <w:lang w:val="en-US" w:eastAsia="ja-JP"/>
              </w:rPr>
              <w:t xml:space="preserve">stress </w:t>
            </w:r>
            <w:r>
              <w:rPr>
                <w:rFonts w:ascii="Times New Roman" w:hAnsi="Times New Roman"/>
                <w:sz w:val="24"/>
                <w:lang w:val="en-US" w:eastAsia="ja-JP"/>
              </w:rPr>
              <w:t>drop</w:t>
            </w:r>
            <w:r>
              <w:rPr>
                <w:rFonts w:ascii="Times New Roman" w:hAnsi="Times New Roman" w:hint="eastAsia"/>
                <w:sz w:val="24"/>
                <w:lang w:val="en-US" w:eastAsia="ja-JP"/>
              </w:rPr>
              <w:t xml:space="preserve"> [MPa]</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3.4</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3.2</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3.1</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3.1</w:t>
            </w:r>
          </w:p>
        </w:tc>
      </w:tr>
      <w:tr w:rsidR="00B71252" w:rsidTr="00E86D84">
        <w:trPr>
          <w:jc w:val="center"/>
        </w:trPr>
        <w:tc>
          <w:tcPr>
            <w:tcW w:w="3118" w:type="dxa"/>
            <w:tcBorders>
              <w:top w:val="nil"/>
              <w:left w:val="single" w:sz="6" w:space="0" w:color="000000"/>
              <w:bottom w:val="single" w:sz="6" w:space="0" w:color="000000"/>
              <w:right w:val="nil"/>
            </w:tcBorders>
          </w:tcPr>
          <w:p w:rsidR="00B71252" w:rsidRDefault="00B71252" w:rsidP="00574741">
            <w:pPr>
              <w:pStyle w:val="Textkrper"/>
              <w:rPr>
                <w:rFonts w:ascii="Times New Roman" w:hAnsi="Times New Roman"/>
                <w:sz w:val="24"/>
                <w:lang w:val="en-US" w:eastAsia="ja-JP"/>
              </w:rPr>
            </w:pPr>
            <w:r>
              <w:rPr>
                <w:rFonts w:ascii="Times New Roman" w:hAnsi="Times New Roman" w:hint="eastAsia"/>
                <w:sz w:val="24"/>
                <w:lang w:val="en-US" w:eastAsia="ja-JP"/>
              </w:rPr>
              <w:t xml:space="preserve"> </w:t>
            </w:r>
            <w:r w:rsidR="00574741">
              <w:rPr>
                <w:rFonts w:ascii="Times New Roman" w:hAnsi="Times New Roman"/>
                <w:sz w:val="24"/>
                <w:lang w:val="en-US" w:eastAsia="ja-JP"/>
              </w:rPr>
              <w:t>Total a</w:t>
            </w:r>
            <w:r>
              <w:rPr>
                <w:rFonts w:ascii="Times New Roman" w:hAnsi="Times New Roman" w:hint="eastAsia"/>
                <w:sz w:val="24"/>
                <w:lang w:val="en-US" w:eastAsia="ja-JP"/>
              </w:rPr>
              <w:t xml:space="preserve">sperity </w:t>
            </w:r>
            <w:r>
              <w:rPr>
                <w:rFonts w:ascii="Times New Roman" w:hAnsi="Times New Roman"/>
                <w:sz w:val="24"/>
                <w:lang w:val="en-US" w:eastAsia="ja-JP"/>
              </w:rPr>
              <w:t>area</w:t>
            </w:r>
            <w:r>
              <w:rPr>
                <w:rFonts w:ascii="Times New Roman" w:hAnsi="Times New Roman" w:hint="eastAsia"/>
                <w:sz w:val="24"/>
                <w:lang w:val="en-US" w:eastAsia="ja-JP"/>
              </w:rPr>
              <w:t xml:space="preserve"> [km</w:t>
            </w:r>
            <w:r w:rsidRPr="00B71252">
              <w:rPr>
                <w:rFonts w:ascii="Times New Roman" w:hAnsi="Times New Roman" w:hint="eastAsia"/>
                <w:sz w:val="24"/>
                <w:vertAlign w:val="superscript"/>
                <w:lang w:val="en-US" w:eastAsia="ja-JP"/>
              </w:rPr>
              <w:t>2</w:t>
            </w:r>
            <w:r>
              <w:rPr>
                <w:rFonts w:ascii="Times New Roman" w:hAnsi="Times New Roman" w:hint="eastAsia"/>
                <w:sz w:val="24"/>
                <w:lang w:val="en-US" w:eastAsia="ja-JP"/>
              </w:rPr>
              <w:t>]</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132.9</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109.2</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134.6</w:t>
            </w:r>
          </w:p>
        </w:tc>
        <w:tc>
          <w:tcPr>
            <w:tcW w:w="1417" w:type="dxa"/>
            <w:tcBorders>
              <w:top w:val="nil"/>
              <w:left w:val="single" w:sz="6" w:space="0" w:color="000000"/>
              <w:bottom w:val="single" w:sz="6" w:space="0" w:color="000000"/>
              <w:right w:val="single" w:sz="6" w:space="0" w:color="000000"/>
            </w:tcBorders>
          </w:tcPr>
          <w:p w:rsidR="00B71252" w:rsidRDefault="00B71252" w:rsidP="00E86D84">
            <w:pPr>
              <w:pStyle w:val="Textkrper"/>
              <w:jc w:val="center"/>
              <w:rPr>
                <w:rFonts w:ascii="Times New Roman" w:hAnsi="Times New Roman"/>
                <w:sz w:val="24"/>
                <w:lang w:val="en-US" w:eastAsia="ja-JP"/>
              </w:rPr>
            </w:pPr>
            <w:r>
              <w:rPr>
                <w:rFonts w:ascii="Times New Roman" w:hAnsi="Times New Roman" w:hint="eastAsia"/>
                <w:sz w:val="24"/>
                <w:lang w:val="en-US" w:eastAsia="ja-JP"/>
              </w:rPr>
              <w:t>119.</w:t>
            </w:r>
            <w:r>
              <w:rPr>
                <w:rFonts w:ascii="Times New Roman" w:hAnsi="Times New Roman"/>
                <w:sz w:val="24"/>
                <w:lang w:val="en-US" w:eastAsia="ja-JP"/>
              </w:rPr>
              <w:t>7</w:t>
            </w:r>
          </w:p>
        </w:tc>
      </w:tr>
    </w:tbl>
    <w:p w:rsidR="00B71252" w:rsidRDefault="00B71252" w:rsidP="00B71252">
      <w:pPr>
        <w:numPr>
          <w:ilvl w:val="12"/>
          <w:numId w:val="0"/>
        </w:numPr>
        <w:rPr>
          <w:sz w:val="22"/>
          <w:lang w:val="en-US"/>
        </w:rPr>
      </w:pPr>
    </w:p>
    <w:p w:rsidR="00B71252" w:rsidRDefault="00DC2732" w:rsidP="00B71252">
      <w:pPr>
        <w:numPr>
          <w:ilvl w:val="12"/>
          <w:numId w:val="0"/>
        </w:numPr>
        <w:jc w:val="center"/>
        <w:rPr>
          <w:lang w:val="en-US"/>
        </w:rPr>
      </w:pPr>
      <w:r>
        <w:rPr>
          <w:noProof/>
          <w:lang w:val="en-US" w:eastAsia="ja-JP"/>
        </w:rPr>
        <w:drawing>
          <wp:inline distT="0" distB="0" distL="0" distR="0">
            <wp:extent cx="5758815" cy="1009015"/>
            <wp:effectExtent l="0" t="0" r="0" b="63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ult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8815" cy="1009015"/>
                    </a:xfrm>
                    <a:prstGeom prst="rect">
                      <a:avLst/>
                    </a:prstGeom>
                  </pic:spPr>
                </pic:pic>
              </a:graphicData>
            </a:graphic>
          </wp:inline>
        </w:drawing>
      </w:r>
    </w:p>
    <w:p w:rsidR="00B71252" w:rsidRDefault="00B71252" w:rsidP="00B71252">
      <w:pPr>
        <w:numPr>
          <w:ilvl w:val="12"/>
          <w:numId w:val="0"/>
        </w:numPr>
        <w:jc w:val="center"/>
        <w:rPr>
          <w:i/>
          <w:sz w:val="22"/>
          <w:lang w:val="en-US"/>
        </w:rPr>
      </w:pPr>
      <w:r>
        <w:rPr>
          <w:i/>
          <w:sz w:val="22"/>
          <w:lang w:val="en-US"/>
        </w:rPr>
        <w:t>FIG. 1. Source models.</w:t>
      </w:r>
      <w:r w:rsidR="00DC2732">
        <w:rPr>
          <w:i/>
          <w:sz w:val="22"/>
          <w:lang w:val="en-US"/>
        </w:rPr>
        <w:t xml:space="preserve"> Star represents the rupture starting point.</w:t>
      </w:r>
    </w:p>
    <w:p w:rsidR="00A8604F" w:rsidRPr="009F6A57" w:rsidRDefault="004C57A4" w:rsidP="009F6A57">
      <w:pPr>
        <w:pStyle w:val="41"/>
        <w:numPr>
          <w:ilvl w:val="0"/>
          <w:numId w:val="42"/>
        </w:numPr>
        <w:rPr>
          <w:lang w:val="en-US"/>
        </w:rPr>
      </w:pPr>
      <w:r>
        <w:rPr>
          <w:lang w:val="en-US"/>
        </w:rPr>
        <w:t xml:space="preserve"> </w:t>
      </w:r>
      <w:r w:rsidR="005C0798">
        <w:rPr>
          <w:lang w:val="en-US"/>
        </w:rPr>
        <w:t>Strong-motion Simulation</w:t>
      </w:r>
    </w:p>
    <w:p w:rsidR="00A8604F" w:rsidRDefault="00E35AFC">
      <w:pPr>
        <w:numPr>
          <w:ilvl w:val="12"/>
          <w:numId w:val="0"/>
        </w:numPr>
        <w:rPr>
          <w:lang w:val="en-US"/>
        </w:rPr>
      </w:pPr>
      <w:r>
        <w:rPr>
          <w:lang w:val="en-US"/>
        </w:rPr>
        <w:t xml:space="preserve">In order to simulate strong-motion, we apply a hybrid approach that combines a 3D finite-difference method (FDM) and the stochastic Green’s function method (SGFM) for long- (&gt;1 s) and short-period (&lt;1 s) ranges, respectively. The </w:t>
      </w:r>
      <w:r w:rsidR="00AC3706">
        <w:rPr>
          <w:lang w:val="en-US"/>
        </w:rPr>
        <w:t>time series</w:t>
      </w:r>
      <w:r>
        <w:rPr>
          <w:lang w:val="en-US"/>
        </w:rPr>
        <w:t xml:space="preserve"> of strong-motion on the engineering bedrock whose shear wave velocity is 600 m/s is computed by using the hybrid approach. We use the 3D FDM using discontinuous grid</w:t>
      </w:r>
      <w:r w:rsidRPr="00043E25">
        <w:rPr>
          <w:lang w:val="en-US"/>
        </w:rPr>
        <w:t>s [</w:t>
      </w:r>
      <w:r w:rsidR="00043E25" w:rsidRPr="00043E25">
        <w:rPr>
          <w:lang w:val="en-US"/>
        </w:rPr>
        <w:t>13</w:t>
      </w:r>
      <w:r w:rsidRPr="00043E25">
        <w:rPr>
          <w:lang w:val="en-US"/>
        </w:rPr>
        <w:t xml:space="preserve">] </w:t>
      </w:r>
      <w:r>
        <w:rPr>
          <w:lang w:val="en-US"/>
        </w:rPr>
        <w:t xml:space="preserve">and </w:t>
      </w:r>
      <w:r w:rsidR="00991503">
        <w:rPr>
          <w:lang w:val="en-US"/>
        </w:rPr>
        <w:t xml:space="preserve">the </w:t>
      </w:r>
      <w:r>
        <w:rPr>
          <w:lang w:val="en-US"/>
        </w:rPr>
        <w:t xml:space="preserve">SGFM by </w:t>
      </w:r>
      <w:r w:rsidR="00AC3706">
        <w:rPr>
          <w:lang w:val="en-US"/>
        </w:rPr>
        <w:t>Dan and Sato</w:t>
      </w:r>
      <w:r>
        <w:rPr>
          <w:lang w:val="en-US"/>
        </w:rPr>
        <w:t xml:space="preserve"> </w:t>
      </w:r>
      <w:r w:rsidRPr="00043E25">
        <w:rPr>
          <w:lang w:val="en-US"/>
        </w:rPr>
        <w:t>[</w:t>
      </w:r>
      <w:r w:rsidR="00043E25" w:rsidRPr="00043E25">
        <w:rPr>
          <w:lang w:val="en-US"/>
        </w:rPr>
        <w:t>14</w:t>
      </w:r>
      <w:r w:rsidRPr="00043E25">
        <w:rPr>
          <w:lang w:val="en-US"/>
        </w:rPr>
        <w:t>]</w:t>
      </w:r>
      <w:r w:rsidR="00991503" w:rsidRPr="00043E25">
        <w:rPr>
          <w:lang w:val="en-US"/>
        </w:rPr>
        <w:t xml:space="preserve">. </w:t>
      </w:r>
      <w:r w:rsidR="00AC3706" w:rsidRPr="00043E25">
        <w:rPr>
          <w:lang w:val="en-US"/>
        </w:rPr>
        <w:t xml:space="preserve">A </w:t>
      </w:r>
      <w:r w:rsidR="00AC3706">
        <w:rPr>
          <w:lang w:val="en-US"/>
        </w:rPr>
        <w:t>3D velocity structure model constructed by Fujiwara et al</w:t>
      </w:r>
      <w:r w:rsidR="00AC3706" w:rsidRPr="00043E25">
        <w:rPr>
          <w:lang w:val="en-US"/>
        </w:rPr>
        <w:t>. [</w:t>
      </w:r>
      <w:r w:rsidR="00290406" w:rsidRPr="00043E25">
        <w:rPr>
          <w:lang w:val="en-US"/>
        </w:rPr>
        <w:t>1</w:t>
      </w:r>
      <w:r w:rsidR="00A944D2" w:rsidRPr="00043E25">
        <w:rPr>
          <w:lang w:val="en-US"/>
        </w:rPr>
        <w:t>5</w:t>
      </w:r>
      <w:r w:rsidR="00AC3706" w:rsidRPr="00043E25">
        <w:rPr>
          <w:lang w:val="en-US"/>
        </w:rPr>
        <w:t>]</w:t>
      </w:r>
      <w:r w:rsidR="00AC3706">
        <w:rPr>
          <w:lang w:val="en-US"/>
        </w:rPr>
        <w:t xml:space="preserve"> is used to compute time series on the engineering bedrock.</w:t>
      </w:r>
      <w:r w:rsidR="00991503">
        <w:rPr>
          <w:lang w:val="en-US"/>
        </w:rPr>
        <w:t xml:space="preserve"> The long- and short-period components are superpositioned in the time domain to create a time series of a ground motion at crossover period (1 s) after </w:t>
      </w:r>
      <w:r w:rsidR="00991503">
        <w:rPr>
          <w:lang w:val="en-US"/>
        </w:rPr>
        <w:lastRenderedPageBreak/>
        <w:t>applying a pair of high- and low-cut filters.</w:t>
      </w:r>
      <w:r w:rsidR="00FE3001">
        <w:rPr>
          <w:lang w:val="en-US"/>
        </w:rPr>
        <w:t xml:space="preserve"> The target area in this study is shown in </w:t>
      </w:r>
      <w:r w:rsidR="00FE3001" w:rsidRPr="000C258D">
        <w:rPr>
          <w:i/>
          <w:lang w:val="en-US"/>
        </w:rPr>
        <w:t>FIG.2</w:t>
      </w:r>
      <w:r w:rsidR="00FE3001">
        <w:rPr>
          <w:lang w:val="en-US"/>
        </w:rPr>
        <w:t xml:space="preserve">. We use Vs30 </w:t>
      </w:r>
      <w:r w:rsidR="00FD62F9">
        <w:rPr>
          <w:lang w:val="en-US"/>
        </w:rPr>
        <w:t>distribution map estimated from the 250-m-mesh Japan engineering geomorphological classification map</w:t>
      </w:r>
      <w:r w:rsidR="00FD62F9" w:rsidRPr="00043E25">
        <w:rPr>
          <w:lang w:val="en-US"/>
        </w:rPr>
        <w:t xml:space="preserve"> [</w:t>
      </w:r>
      <w:r w:rsidR="00043E25" w:rsidRPr="00043E25">
        <w:rPr>
          <w:lang w:val="en-US"/>
        </w:rPr>
        <w:t>16</w:t>
      </w:r>
      <w:r w:rsidR="00FD62F9" w:rsidRPr="00043E25">
        <w:rPr>
          <w:lang w:val="en-US"/>
        </w:rPr>
        <w:t xml:space="preserve">] </w:t>
      </w:r>
      <w:r w:rsidR="00FD62F9">
        <w:rPr>
          <w:lang w:val="en-US"/>
        </w:rPr>
        <w:t>as the subsurface structure shallower than the engineering bedrock.</w:t>
      </w:r>
    </w:p>
    <w:p w:rsidR="006B5EA5" w:rsidRDefault="00111D7B">
      <w:pPr>
        <w:numPr>
          <w:ilvl w:val="12"/>
          <w:numId w:val="0"/>
        </w:numPr>
        <w:rPr>
          <w:lang w:val="en-US" w:eastAsia="ja-JP"/>
        </w:rPr>
      </w:pPr>
      <w:r>
        <w:rPr>
          <w:lang w:val="en-US"/>
        </w:rPr>
        <w:t xml:space="preserve">The observed and simulated peak ground velocities (PGVs) are compared in </w:t>
      </w:r>
      <w:r w:rsidRPr="000C258D">
        <w:rPr>
          <w:i/>
          <w:lang w:val="en-US"/>
        </w:rPr>
        <w:t>FIG.3</w:t>
      </w:r>
      <w:r>
        <w:rPr>
          <w:lang w:val="en-US"/>
        </w:rPr>
        <w:t xml:space="preserve">. The simulated PGV </w:t>
      </w:r>
      <w:r w:rsidR="004D365F">
        <w:rPr>
          <w:lang w:val="en-US" w:eastAsia="ja-JP"/>
        </w:rPr>
        <w:t>is</w:t>
      </w:r>
      <w:r>
        <w:rPr>
          <w:lang w:val="en-US"/>
        </w:rPr>
        <w:t xml:space="preserve"> calculated from peak velocity on the engineering bedrock by multiplying the amplification factor. The amplification factor is obtained from Vs30 by using an empirical relationship</w:t>
      </w:r>
      <w:r w:rsidRPr="00043E25">
        <w:rPr>
          <w:lang w:val="en-US"/>
        </w:rPr>
        <w:t xml:space="preserve"> [</w:t>
      </w:r>
      <w:r w:rsidR="00043E25" w:rsidRPr="00043E25">
        <w:rPr>
          <w:lang w:val="en-US"/>
        </w:rPr>
        <w:t>17</w:t>
      </w:r>
      <w:r w:rsidRPr="00043E25">
        <w:rPr>
          <w:lang w:val="en-US"/>
        </w:rPr>
        <w:t xml:space="preserve">]. </w:t>
      </w:r>
      <w:r w:rsidR="000D6461" w:rsidRPr="00043E25">
        <w:rPr>
          <w:lang w:val="en-US" w:eastAsia="ja-JP"/>
        </w:rPr>
        <w:t>Th</w:t>
      </w:r>
      <w:r w:rsidR="000D6461">
        <w:rPr>
          <w:lang w:val="en-US" w:eastAsia="ja-JP"/>
        </w:rPr>
        <w:t xml:space="preserve">e simulated PGVs for source models </w:t>
      </w:r>
      <w:r w:rsidR="000D6461">
        <w:rPr>
          <w:lang w:val="en-US"/>
        </w:rPr>
        <w:t xml:space="preserve">with smaller seismic moment (M1-0kW18 and M1-2kW16) are underestimated with observed PGVs. </w:t>
      </w:r>
      <w:r w:rsidR="000D6461">
        <w:rPr>
          <w:lang w:val="en-US" w:eastAsia="ja-JP"/>
        </w:rPr>
        <w:t xml:space="preserve">On the other hand, simulated PGVs for source models given appropriate seismic moment </w:t>
      </w:r>
      <w:r w:rsidR="00D838DB">
        <w:rPr>
          <w:rFonts w:hint="eastAsia"/>
          <w:lang w:val="en-US" w:eastAsia="ja-JP"/>
        </w:rPr>
        <w:t>4.5</w:t>
      </w:r>
      <w:r w:rsidR="00D838DB" w:rsidRPr="00C82700">
        <w:rPr>
          <w:rFonts w:cs="Times"/>
          <w:szCs w:val="24"/>
          <w:lang w:val="en-US" w:eastAsia="ja-JP"/>
        </w:rPr>
        <w:t>×</w:t>
      </w:r>
      <w:r w:rsidR="00D838DB">
        <w:rPr>
          <w:rFonts w:hint="eastAsia"/>
          <w:bCs/>
          <w:lang w:val="en-US" w:eastAsia="ja-JP"/>
        </w:rPr>
        <w:t>10</w:t>
      </w:r>
      <w:r w:rsidR="00D838DB" w:rsidRPr="00C82700">
        <w:rPr>
          <w:rFonts w:hint="eastAsia"/>
          <w:bCs/>
          <w:vertAlign w:val="superscript"/>
          <w:lang w:val="en-US" w:eastAsia="ja-JP"/>
        </w:rPr>
        <w:t>19</w:t>
      </w:r>
      <w:r w:rsidR="00D838DB" w:rsidRPr="00C82700">
        <w:rPr>
          <w:rFonts w:cs="Times"/>
          <w:szCs w:val="24"/>
          <w:lang w:val="en-US" w:eastAsia="ja-JP"/>
        </w:rPr>
        <w:t xml:space="preserve"> N</w:t>
      </w:r>
      <w:r w:rsidR="00D838DB" w:rsidRPr="00C82700">
        <w:rPr>
          <w:rFonts w:ascii="Courier New" w:hAnsi="Courier New"/>
          <w:szCs w:val="24"/>
          <w:lang w:val="en-US" w:eastAsia="ja-JP"/>
        </w:rPr>
        <w:t>·</w:t>
      </w:r>
      <w:r w:rsidR="00D838DB" w:rsidRPr="00C82700">
        <w:rPr>
          <w:rFonts w:cs="Times"/>
          <w:szCs w:val="24"/>
          <w:lang w:val="en-US" w:eastAsia="ja-JP"/>
        </w:rPr>
        <w:t>m</w:t>
      </w:r>
      <w:r w:rsidR="000D6461">
        <w:rPr>
          <w:rFonts w:cs="Times"/>
          <w:szCs w:val="24"/>
          <w:lang w:val="en-US" w:eastAsia="ja-JP"/>
        </w:rPr>
        <w:t xml:space="preserve"> (M2-0kW18 and M2-2kW16) are well matched with observations. </w:t>
      </w:r>
      <w:r w:rsidR="001C2A62">
        <w:rPr>
          <w:lang w:val="en-US" w:eastAsia="ja-JP"/>
        </w:rPr>
        <w:t xml:space="preserve">The difference in the simulation results between M2-0kW18 and M2-2kW16 is small and the distribution of PGVs in the wide region can be </w:t>
      </w:r>
      <w:r w:rsidR="000F1E31">
        <w:rPr>
          <w:lang w:val="en-US" w:eastAsia="ja-JP"/>
        </w:rPr>
        <w:t>well</w:t>
      </w:r>
      <w:r w:rsidR="001C2A62">
        <w:rPr>
          <w:lang w:val="en-US" w:eastAsia="ja-JP"/>
        </w:rPr>
        <w:t xml:space="preserve"> reproduced</w:t>
      </w:r>
      <w:r w:rsidR="000F1E31">
        <w:rPr>
          <w:lang w:val="en-US" w:eastAsia="ja-JP"/>
        </w:rPr>
        <w:t xml:space="preserve"> in the both models. This indicates that it is not bad to assume that the effective stress is zero at the source fault shallower than the seismogenic layer.</w:t>
      </w:r>
    </w:p>
    <w:p w:rsidR="00FE3001" w:rsidRDefault="00FE3001">
      <w:pPr>
        <w:numPr>
          <w:ilvl w:val="12"/>
          <w:numId w:val="0"/>
        </w:numPr>
        <w:rPr>
          <w:lang w:val="en-US" w:eastAsia="ja-JP"/>
        </w:rPr>
      </w:pPr>
      <w:r>
        <w:rPr>
          <w:lang w:val="en-US" w:eastAsia="ja-JP"/>
        </w:rPr>
        <w:t>An example of the observed and simulated velocity waveforms on the engineering bedrock are compared in FIG.</w:t>
      </w:r>
      <w:r w:rsidR="00B421D8">
        <w:rPr>
          <w:rFonts w:hint="eastAsia"/>
          <w:lang w:val="en-US" w:eastAsia="ja-JP"/>
        </w:rPr>
        <w:t>4</w:t>
      </w:r>
      <w:r>
        <w:rPr>
          <w:lang w:val="en-US" w:eastAsia="ja-JP"/>
        </w:rPr>
        <w:t xml:space="preserve">. </w:t>
      </w:r>
      <w:r w:rsidR="000F1E31">
        <w:rPr>
          <w:lang w:val="en-US" w:eastAsia="ja-JP"/>
        </w:rPr>
        <w:t xml:space="preserve">The simulated waveform at the site distant from the source fault (e.g. KMM009) is in good agreement with the observed one, but at site which is very close to the source fault (93048), a pulse-like wave with a period of about 3 s cannot be reproduced. FIG.5 shows a comparison of </w:t>
      </w:r>
      <w:r w:rsidR="0057172E">
        <w:rPr>
          <w:lang w:val="en-US" w:eastAsia="ja-JP"/>
        </w:rPr>
        <w:t xml:space="preserve">observed and simulated </w:t>
      </w:r>
      <w:r w:rsidR="000F1E31">
        <w:rPr>
          <w:lang w:val="en-US" w:eastAsia="ja-JP"/>
        </w:rPr>
        <w:t xml:space="preserve">displacement waveforms </w:t>
      </w:r>
      <w:r w:rsidR="00AE70CE">
        <w:rPr>
          <w:lang w:val="en-US" w:eastAsia="ja-JP"/>
        </w:rPr>
        <w:t xml:space="preserve">on the engineering bedrock </w:t>
      </w:r>
      <w:r w:rsidR="0057172E">
        <w:rPr>
          <w:lang w:val="en-US" w:eastAsia="ja-JP"/>
        </w:rPr>
        <w:t>at the site 93048. The underestimation of peak displacement is remarkable, but the model M2-0kW18 is better.</w:t>
      </w:r>
      <w:r w:rsidR="00AE70CE">
        <w:rPr>
          <w:lang w:val="en-US" w:eastAsia="ja-JP"/>
        </w:rPr>
        <w:t xml:space="preserve"> In order to examine the characteristics of long-period component of strong-motion </w:t>
      </w:r>
      <w:r w:rsidR="002F6D57">
        <w:rPr>
          <w:lang w:val="en-US" w:eastAsia="ja-JP"/>
        </w:rPr>
        <w:t>at sites very close to</w:t>
      </w:r>
      <w:r w:rsidR="00AE70CE">
        <w:rPr>
          <w:lang w:val="en-US" w:eastAsia="ja-JP"/>
        </w:rPr>
        <w:t xml:space="preserve"> the source fault, we calculate waveforms on the engineering bedrock every 1 km grid. The distribution of the simulated peak horizontal displacements is shown in </w:t>
      </w:r>
      <w:r w:rsidR="00AE70CE" w:rsidRPr="00AE70CE">
        <w:rPr>
          <w:i/>
          <w:lang w:val="en-US" w:eastAsia="ja-JP"/>
        </w:rPr>
        <w:t>FIG.6</w:t>
      </w:r>
      <w:r w:rsidR="00AE70CE">
        <w:rPr>
          <w:lang w:val="en-US" w:eastAsia="ja-JP"/>
        </w:rPr>
        <w:t>.</w:t>
      </w:r>
      <w:r w:rsidR="00243433" w:rsidRPr="00243433">
        <w:rPr>
          <w:rFonts w:hint="eastAsia"/>
          <w:lang w:val="en-US" w:eastAsia="ja-JP"/>
        </w:rPr>
        <w:t xml:space="preserve"> </w:t>
      </w:r>
      <w:r w:rsidR="0005673F">
        <w:rPr>
          <w:lang w:val="en-US" w:eastAsia="ja-JP"/>
        </w:rPr>
        <w:t xml:space="preserve">At sites where the shortest distance to the source fault </w:t>
      </w:r>
      <w:r w:rsidR="002F6D57">
        <w:rPr>
          <w:lang w:val="en-US" w:eastAsia="ja-JP"/>
        </w:rPr>
        <w:t xml:space="preserve">trace </w:t>
      </w:r>
      <w:r w:rsidR="0005673F">
        <w:rPr>
          <w:lang w:val="en-US" w:eastAsia="ja-JP"/>
        </w:rPr>
        <w:t xml:space="preserve">is 2 km or more indicated by blue diamonds or black crosses in the figure, the difference in peak horizontal displacement between two models, M2-0kW18 and M2-2kW16, is small. However, the difference at sites where the shortest distance to the source fault </w:t>
      </w:r>
      <w:r w:rsidR="002F6D57">
        <w:rPr>
          <w:lang w:val="en-US" w:eastAsia="ja-JP"/>
        </w:rPr>
        <w:t xml:space="preserve">trace within </w:t>
      </w:r>
      <w:r w:rsidR="0005673F">
        <w:rPr>
          <w:lang w:val="en-US" w:eastAsia="ja-JP"/>
        </w:rPr>
        <w:t xml:space="preserve">1 km is very large between the two models. This indicates that the long-period component of strong-motion </w:t>
      </w:r>
      <w:r w:rsidR="002F6D57">
        <w:rPr>
          <w:lang w:val="en-US" w:eastAsia="ja-JP"/>
        </w:rPr>
        <w:t xml:space="preserve">at sites very close to </w:t>
      </w:r>
      <w:r w:rsidR="0005673F">
        <w:rPr>
          <w:lang w:val="en-US" w:eastAsia="ja-JP"/>
        </w:rPr>
        <w:t>the source fault</w:t>
      </w:r>
      <w:r w:rsidR="002F6D57">
        <w:rPr>
          <w:lang w:val="en-US" w:eastAsia="ja-JP"/>
        </w:rPr>
        <w:t>, where shortest distance to the source fault trace within 1km, varies greatly due to the difference in observation site loca</w:t>
      </w:r>
      <w:r w:rsidR="000135C6">
        <w:rPr>
          <w:lang w:val="en-US" w:eastAsia="ja-JP"/>
        </w:rPr>
        <w:t>tion of several hundred meters.</w:t>
      </w:r>
    </w:p>
    <w:p w:rsidR="00B421D8" w:rsidRPr="004445B4" w:rsidRDefault="00B421D8" w:rsidP="00B421D8">
      <w:pPr>
        <w:numPr>
          <w:ilvl w:val="12"/>
          <w:numId w:val="0"/>
        </w:numPr>
        <w:rPr>
          <w:sz w:val="22"/>
          <w:lang w:val="en-US" w:eastAsia="ja-JP"/>
        </w:rPr>
      </w:pPr>
    </w:p>
    <w:p w:rsidR="00B421D8" w:rsidRDefault="00B421D8" w:rsidP="00B421D8">
      <w:pPr>
        <w:numPr>
          <w:ilvl w:val="12"/>
          <w:numId w:val="0"/>
        </w:numPr>
        <w:jc w:val="center"/>
        <w:rPr>
          <w:lang w:val="en-US"/>
        </w:rPr>
      </w:pPr>
      <w:r w:rsidRPr="007745CB">
        <w:rPr>
          <w:rFonts w:ascii="Times New Roman" w:hAnsi="Times New Roman"/>
          <w:noProof/>
          <w:lang w:val="en-US" w:eastAsia="ja-JP"/>
        </w:rPr>
        <w:lastRenderedPageBreak/>
        <w:drawing>
          <wp:inline distT="0" distB="0" distL="0" distR="0" wp14:anchorId="01CCF3A1" wp14:editId="2EAB14AC">
            <wp:extent cx="4445640" cy="4034160"/>
            <wp:effectExtent l="0" t="0" r="0" b="4445"/>
            <wp:docPr id="52" name="図 52" descr="C:\Users\iwaki\Dropbox\NIED\2016\2016KumamotoEQ\memo20160705\psfile\kumamap04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waki\Dropbox\NIED\2016\2016KumamotoEQ\memo20160705\psfile\kumamap041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5640" cy="4034160"/>
                    </a:xfrm>
                    <a:prstGeom prst="rect">
                      <a:avLst/>
                    </a:prstGeom>
                    <a:noFill/>
                    <a:ln>
                      <a:noFill/>
                    </a:ln>
                  </pic:spPr>
                </pic:pic>
              </a:graphicData>
            </a:graphic>
          </wp:inline>
        </w:drawing>
      </w:r>
    </w:p>
    <w:p w:rsidR="00B421D8" w:rsidRDefault="00B421D8" w:rsidP="00B421D8">
      <w:pPr>
        <w:numPr>
          <w:ilvl w:val="12"/>
          <w:numId w:val="0"/>
        </w:numPr>
        <w:jc w:val="center"/>
        <w:rPr>
          <w:i/>
          <w:sz w:val="22"/>
          <w:lang w:val="en-US"/>
        </w:rPr>
      </w:pPr>
      <w:r>
        <w:rPr>
          <w:i/>
          <w:sz w:val="22"/>
          <w:lang w:val="en-US"/>
        </w:rPr>
        <w:t xml:space="preserve">FIG. </w:t>
      </w:r>
      <w:r>
        <w:rPr>
          <w:rFonts w:hint="eastAsia"/>
          <w:i/>
          <w:sz w:val="22"/>
          <w:lang w:val="en-US" w:eastAsia="ja-JP"/>
        </w:rPr>
        <w:t>2</w:t>
      </w:r>
      <w:r>
        <w:rPr>
          <w:i/>
          <w:sz w:val="22"/>
          <w:lang w:val="en-US"/>
        </w:rPr>
        <w:t>. Target area in this study.</w:t>
      </w:r>
    </w:p>
    <w:p w:rsidR="00B421D8" w:rsidRDefault="00B421D8" w:rsidP="00B421D8">
      <w:pPr>
        <w:numPr>
          <w:ilvl w:val="12"/>
          <w:numId w:val="0"/>
        </w:numPr>
        <w:rPr>
          <w:sz w:val="22"/>
          <w:lang w:val="en-US"/>
        </w:rPr>
      </w:pPr>
    </w:p>
    <w:p w:rsidR="00B421D8" w:rsidRDefault="00B421D8" w:rsidP="00B421D8">
      <w:pPr>
        <w:numPr>
          <w:ilvl w:val="12"/>
          <w:numId w:val="0"/>
        </w:numPr>
        <w:jc w:val="center"/>
        <w:rPr>
          <w:lang w:val="en-US"/>
        </w:rPr>
      </w:pPr>
      <w:r>
        <w:rPr>
          <w:noProof/>
          <w:lang w:val="en-US" w:eastAsia="ja-JP"/>
        </w:rPr>
        <w:drawing>
          <wp:inline distT="0" distB="0" distL="0" distR="0">
            <wp:extent cx="4227480" cy="3724920"/>
            <wp:effectExtent l="0" t="0" r="1905" b="889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tail_op_graph2.png"/>
                    <pic:cNvPicPr/>
                  </pic:nvPicPr>
                  <pic:blipFill>
                    <a:blip r:embed="rId10">
                      <a:extLst>
                        <a:ext uri="{28A0092B-C50C-407E-A947-70E740481C1C}">
                          <a14:useLocalDpi xmlns:a14="http://schemas.microsoft.com/office/drawing/2010/main" val="0"/>
                        </a:ext>
                      </a:extLst>
                    </a:blip>
                    <a:stretch>
                      <a:fillRect/>
                    </a:stretch>
                  </pic:blipFill>
                  <pic:spPr>
                    <a:xfrm>
                      <a:off x="0" y="0"/>
                      <a:ext cx="4227480" cy="3724920"/>
                    </a:xfrm>
                    <a:prstGeom prst="rect">
                      <a:avLst/>
                    </a:prstGeom>
                  </pic:spPr>
                </pic:pic>
              </a:graphicData>
            </a:graphic>
          </wp:inline>
        </w:drawing>
      </w:r>
    </w:p>
    <w:p w:rsidR="00B421D8" w:rsidRDefault="00B421D8" w:rsidP="00B421D8">
      <w:pPr>
        <w:numPr>
          <w:ilvl w:val="12"/>
          <w:numId w:val="0"/>
        </w:numPr>
        <w:jc w:val="center"/>
        <w:rPr>
          <w:i/>
          <w:sz w:val="22"/>
          <w:lang w:val="en-US"/>
        </w:rPr>
      </w:pPr>
      <w:r>
        <w:rPr>
          <w:i/>
          <w:sz w:val="22"/>
          <w:lang w:val="en-US"/>
        </w:rPr>
        <w:t xml:space="preserve">FIG. 3. Comparison of observed and simulated </w:t>
      </w:r>
      <w:r w:rsidR="001F05D4">
        <w:rPr>
          <w:i/>
          <w:sz w:val="22"/>
          <w:lang w:val="en-US"/>
        </w:rPr>
        <w:t xml:space="preserve">horizontal </w:t>
      </w:r>
      <w:r>
        <w:rPr>
          <w:i/>
          <w:sz w:val="22"/>
          <w:lang w:val="en-US"/>
        </w:rPr>
        <w:t>peak ground velocities.</w:t>
      </w:r>
    </w:p>
    <w:p w:rsidR="005241D4" w:rsidRDefault="00655FB6" w:rsidP="005241D4">
      <w:pPr>
        <w:jc w:val="center"/>
      </w:pPr>
      <w:r>
        <w:rPr>
          <w:noProof/>
          <w:lang w:val="en-US" w:eastAsia="ja-JP"/>
        </w:rPr>
        <w:lastRenderedPageBreak/>
        <w:drawing>
          <wp:inline distT="0" distB="0" distL="0" distR="0">
            <wp:extent cx="5569200" cy="6090480"/>
            <wp:effectExtent l="0" t="0" r="0" b="571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ves_fig0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9200" cy="6090480"/>
                    </a:xfrm>
                    <a:prstGeom prst="rect">
                      <a:avLst/>
                    </a:prstGeom>
                  </pic:spPr>
                </pic:pic>
              </a:graphicData>
            </a:graphic>
          </wp:inline>
        </w:drawing>
      </w:r>
    </w:p>
    <w:p w:rsidR="00B421D8" w:rsidRDefault="00B421D8" w:rsidP="00B421D8">
      <w:pPr>
        <w:numPr>
          <w:ilvl w:val="12"/>
          <w:numId w:val="0"/>
        </w:numPr>
        <w:jc w:val="center"/>
        <w:rPr>
          <w:i/>
          <w:sz w:val="22"/>
          <w:lang w:val="en-US"/>
        </w:rPr>
      </w:pPr>
      <w:r>
        <w:rPr>
          <w:i/>
          <w:sz w:val="22"/>
          <w:lang w:val="en-US"/>
        </w:rPr>
        <w:t>FIG. 4. An example of comparison of observed and simulated velocity waveforms.</w:t>
      </w:r>
    </w:p>
    <w:p w:rsidR="005241D4" w:rsidRPr="005241D4" w:rsidRDefault="005241D4" w:rsidP="005241D4">
      <w:pPr>
        <w:numPr>
          <w:ilvl w:val="12"/>
          <w:numId w:val="0"/>
        </w:numPr>
        <w:rPr>
          <w:sz w:val="22"/>
          <w:lang w:val="en-US"/>
        </w:rPr>
      </w:pPr>
    </w:p>
    <w:p w:rsidR="005241D4" w:rsidRDefault="005241D4" w:rsidP="005241D4">
      <w:pPr>
        <w:ind w:firstLineChars="300" w:firstLine="720"/>
      </w:pPr>
      <w:r>
        <w:rPr>
          <w:rFonts w:hint="eastAsia"/>
        </w:rPr>
        <w:t>NS</w:t>
      </w:r>
      <w:r>
        <w:rPr>
          <w:rFonts w:hint="eastAsia"/>
        </w:rPr>
        <w:tab/>
      </w:r>
      <w:r>
        <w:tab/>
      </w:r>
      <w:r>
        <w:rPr>
          <w:rFonts w:hint="eastAsia"/>
        </w:rPr>
        <w:t xml:space="preserve">　　</w:t>
      </w:r>
      <w:r>
        <w:rPr>
          <w:rFonts w:hint="eastAsia"/>
        </w:rPr>
        <w:t>EW</w:t>
      </w:r>
      <w:r>
        <w:rPr>
          <w:rFonts w:hint="eastAsia"/>
        </w:rPr>
        <w:tab/>
      </w:r>
      <w:r>
        <w:tab/>
      </w:r>
      <w:r>
        <w:tab/>
      </w:r>
      <w:r>
        <w:rPr>
          <w:rFonts w:hint="eastAsia"/>
        </w:rPr>
        <w:t>UD</w:t>
      </w:r>
      <w:r>
        <w:rPr>
          <w:rFonts w:hint="eastAsia"/>
        </w:rPr>
        <w:tab/>
      </w:r>
      <w:r>
        <w:rPr>
          <w:rFonts w:hint="eastAsia"/>
        </w:rPr>
        <w:tab/>
      </w:r>
      <w:r>
        <w:t xml:space="preserve"> </w:t>
      </w:r>
      <w:r>
        <w:tab/>
      </w:r>
      <w:r>
        <w:tab/>
      </w:r>
    </w:p>
    <w:p w:rsidR="005241D4" w:rsidRDefault="00FA5DB5" w:rsidP="005241D4">
      <w:pPr>
        <w:jc w:val="center"/>
      </w:pPr>
      <w:r>
        <w:rPr>
          <w:noProof/>
          <w:lang w:val="en-US" w:eastAsia="ja-JP"/>
        </w:rPr>
        <w:drawing>
          <wp:inline distT="0" distB="0" distL="0" distR="0">
            <wp:extent cx="5758815" cy="138049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tdisp_93048.png"/>
                    <pic:cNvPicPr/>
                  </pic:nvPicPr>
                  <pic:blipFill>
                    <a:blip r:embed="rId12">
                      <a:extLst>
                        <a:ext uri="{28A0092B-C50C-407E-A947-70E740481C1C}">
                          <a14:useLocalDpi xmlns:a14="http://schemas.microsoft.com/office/drawing/2010/main" val="0"/>
                        </a:ext>
                      </a:extLst>
                    </a:blip>
                    <a:stretch>
                      <a:fillRect/>
                    </a:stretch>
                  </pic:blipFill>
                  <pic:spPr>
                    <a:xfrm>
                      <a:off x="0" y="0"/>
                      <a:ext cx="5758815" cy="1380490"/>
                    </a:xfrm>
                    <a:prstGeom prst="rect">
                      <a:avLst/>
                    </a:prstGeom>
                  </pic:spPr>
                </pic:pic>
              </a:graphicData>
            </a:graphic>
          </wp:inline>
        </w:drawing>
      </w:r>
    </w:p>
    <w:p w:rsidR="005241D4" w:rsidRDefault="005241D4" w:rsidP="005241D4">
      <w:pPr>
        <w:numPr>
          <w:ilvl w:val="12"/>
          <w:numId w:val="0"/>
        </w:numPr>
        <w:jc w:val="center"/>
        <w:rPr>
          <w:i/>
          <w:sz w:val="22"/>
          <w:lang w:val="en-US"/>
        </w:rPr>
      </w:pPr>
      <w:r>
        <w:rPr>
          <w:i/>
          <w:sz w:val="22"/>
          <w:lang w:val="en-US"/>
        </w:rPr>
        <w:t>FIG. 5. Comparison of observed and simulated displacement waveforms at a site very close to the source fault.</w:t>
      </w:r>
    </w:p>
    <w:p w:rsidR="001F05D4" w:rsidRPr="005241D4" w:rsidRDefault="001F05D4" w:rsidP="001F05D4">
      <w:pPr>
        <w:numPr>
          <w:ilvl w:val="12"/>
          <w:numId w:val="0"/>
        </w:numPr>
        <w:rPr>
          <w:sz w:val="22"/>
          <w:lang w:val="en-US"/>
        </w:rPr>
      </w:pPr>
    </w:p>
    <w:p w:rsidR="001F05D4" w:rsidRDefault="001F05D4" w:rsidP="001F05D4">
      <w:pPr>
        <w:jc w:val="center"/>
      </w:pPr>
      <w:r>
        <w:rPr>
          <w:noProof/>
          <w:lang w:val="en-US" w:eastAsia="ja-JP"/>
        </w:rPr>
        <w:drawing>
          <wp:inline distT="0" distB="0" distL="0" distR="0">
            <wp:extent cx="5758815" cy="1382395"/>
            <wp:effectExtent l="0" t="0" r="0" b="825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GD_hor_alongf.png"/>
                    <pic:cNvPicPr/>
                  </pic:nvPicPr>
                  <pic:blipFill>
                    <a:blip r:embed="rId13">
                      <a:extLst>
                        <a:ext uri="{28A0092B-C50C-407E-A947-70E740481C1C}">
                          <a14:useLocalDpi xmlns:a14="http://schemas.microsoft.com/office/drawing/2010/main" val="0"/>
                        </a:ext>
                      </a:extLst>
                    </a:blip>
                    <a:stretch>
                      <a:fillRect/>
                    </a:stretch>
                  </pic:blipFill>
                  <pic:spPr>
                    <a:xfrm>
                      <a:off x="0" y="0"/>
                      <a:ext cx="5758815" cy="1382395"/>
                    </a:xfrm>
                    <a:prstGeom prst="rect">
                      <a:avLst/>
                    </a:prstGeom>
                  </pic:spPr>
                </pic:pic>
              </a:graphicData>
            </a:graphic>
          </wp:inline>
        </w:drawing>
      </w:r>
    </w:p>
    <w:p w:rsidR="001F05D4" w:rsidRDefault="001F05D4" w:rsidP="001F05D4">
      <w:pPr>
        <w:numPr>
          <w:ilvl w:val="12"/>
          <w:numId w:val="0"/>
        </w:numPr>
        <w:jc w:val="center"/>
        <w:rPr>
          <w:i/>
          <w:sz w:val="22"/>
          <w:lang w:val="en-US"/>
        </w:rPr>
      </w:pPr>
      <w:r>
        <w:rPr>
          <w:i/>
          <w:sz w:val="22"/>
          <w:lang w:val="en-US"/>
        </w:rPr>
        <w:t xml:space="preserve">FIG. </w:t>
      </w:r>
      <w:r>
        <w:rPr>
          <w:rFonts w:hint="eastAsia"/>
          <w:i/>
          <w:sz w:val="22"/>
          <w:lang w:val="en-US" w:eastAsia="ja-JP"/>
        </w:rPr>
        <w:t>6</w:t>
      </w:r>
      <w:r>
        <w:rPr>
          <w:i/>
          <w:sz w:val="22"/>
          <w:lang w:val="en-US"/>
        </w:rPr>
        <w:t>. Comparison of horizontal peak displacement on the engineering bedrock between source models with and without surface rupture. Star and gray bold lines represent a rupture starting point and locations of asperities, respectively.</w:t>
      </w:r>
    </w:p>
    <w:p w:rsidR="00577611" w:rsidRPr="009F6A57" w:rsidRDefault="004C57A4" w:rsidP="00577611">
      <w:pPr>
        <w:pStyle w:val="41"/>
        <w:numPr>
          <w:ilvl w:val="0"/>
          <w:numId w:val="42"/>
        </w:numPr>
        <w:rPr>
          <w:lang w:val="en-US"/>
        </w:rPr>
      </w:pPr>
      <w:r>
        <w:rPr>
          <w:lang w:val="en-US" w:eastAsia="ja-JP"/>
        </w:rPr>
        <w:t xml:space="preserve"> </w:t>
      </w:r>
      <w:r w:rsidR="00577611">
        <w:rPr>
          <w:rFonts w:hint="eastAsia"/>
          <w:lang w:val="en-US" w:eastAsia="ja-JP"/>
        </w:rPr>
        <w:t>Simulation Results</w:t>
      </w:r>
    </w:p>
    <w:p w:rsidR="000135C6" w:rsidRDefault="001E419A" w:rsidP="000135C6">
      <w:pPr>
        <w:numPr>
          <w:ilvl w:val="12"/>
          <w:numId w:val="0"/>
        </w:numPr>
        <w:rPr>
          <w:szCs w:val="24"/>
          <w:lang w:val="en-US" w:eastAsia="ja-JP"/>
        </w:rPr>
      </w:pPr>
      <w:r>
        <w:rPr>
          <w:rFonts w:hint="eastAsia"/>
          <w:szCs w:val="24"/>
          <w:lang w:val="en-US" w:eastAsia="ja-JP"/>
        </w:rPr>
        <w:t xml:space="preserve">The seismic moment </w:t>
      </w:r>
      <w:r>
        <w:rPr>
          <w:szCs w:val="24"/>
          <w:lang w:val="en-US" w:eastAsia="ja-JP"/>
        </w:rPr>
        <w:t xml:space="preserve">evaluated for </w:t>
      </w:r>
      <w:r>
        <w:rPr>
          <w:rFonts w:hint="eastAsia"/>
          <w:szCs w:val="24"/>
          <w:lang w:val="en-US" w:eastAsia="ja-JP"/>
        </w:rPr>
        <w:t>the 2016 Kumamoto</w:t>
      </w:r>
      <w:r w:rsidR="006456E4">
        <w:rPr>
          <w:szCs w:val="24"/>
          <w:lang w:val="en-US" w:eastAsia="ja-JP"/>
        </w:rPr>
        <w:t xml:space="preserve"> mainshock</w:t>
      </w:r>
      <w:r>
        <w:rPr>
          <w:rFonts w:hint="eastAsia"/>
          <w:szCs w:val="24"/>
          <w:lang w:val="en-US" w:eastAsia="ja-JP"/>
        </w:rPr>
        <w:t xml:space="preserve"> </w:t>
      </w:r>
      <w:r w:rsidR="006456E4">
        <w:rPr>
          <w:szCs w:val="24"/>
          <w:lang w:val="en-US" w:eastAsia="ja-JP"/>
        </w:rPr>
        <w:t xml:space="preserve">based on </w:t>
      </w:r>
      <w:r>
        <w:rPr>
          <w:szCs w:val="24"/>
          <w:lang w:val="en-US" w:eastAsia="ja-JP"/>
        </w:rPr>
        <w:t xml:space="preserve">the recipe </w:t>
      </w:r>
      <w:r w:rsidR="006456E4">
        <w:rPr>
          <w:szCs w:val="24"/>
          <w:lang w:val="en-US" w:eastAsia="ja-JP"/>
        </w:rPr>
        <w:t>using</w:t>
      </w:r>
      <w:r>
        <w:rPr>
          <w:szCs w:val="24"/>
          <w:lang w:val="en-US" w:eastAsia="ja-JP"/>
        </w:rPr>
        <w:t xml:space="preserve"> the </w:t>
      </w:r>
      <w:r w:rsidR="006456E4">
        <w:rPr>
          <w:szCs w:val="24"/>
          <w:lang w:val="en-US" w:eastAsia="ja-JP"/>
        </w:rPr>
        <w:t xml:space="preserve">length of </w:t>
      </w:r>
      <w:r>
        <w:rPr>
          <w:szCs w:val="24"/>
          <w:lang w:val="en-US" w:eastAsia="ja-JP"/>
        </w:rPr>
        <w:t xml:space="preserve">surface rupture was underestimated. </w:t>
      </w:r>
      <w:r w:rsidR="006456E4">
        <w:rPr>
          <w:szCs w:val="24"/>
          <w:lang w:val="en-US" w:eastAsia="ja-JP"/>
        </w:rPr>
        <w:t>However, t</w:t>
      </w:r>
      <w:r w:rsidR="006456E4">
        <w:rPr>
          <w:rFonts w:cs="Times"/>
          <w:szCs w:val="24"/>
          <w:lang w:val="en-US" w:eastAsia="ja-JP"/>
        </w:rPr>
        <w:t>he relationship between the seismic moment and entire source area for M2-0kW18 and M2-2kW16 is included in the range of variation in the Irikura and Miyake’s relationship. In the current strong-motion evaluation based on the recipe, only the source model that considers the value of the empirical equation itself is to be set. Our results show that by considering variations in empirical equations, we can set up a source model that can reproduce the strong-motion distribution of the Kumamoto mainshock.</w:t>
      </w:r>
      <w:r w:rsidR="006456E4">
        <w:rPr>
          <w:rFonts w:hint="eastAsia"/>
          <w:szCs w:val="24"/>
          <w:lang w:val="en-US" w:eastAsia="ja-JP"/>
        </w:rPr>
        <w:t xml:space="preserve"> </w:t>
      </w:r>
      <w:r w:rsidR="00F31438">
        <w:rPr>
          <w:rFonts w:hint="eastAsia"/>
          <w:szCs w:val="24"/>
          <w:lang w:val="en-US" w:eastAsia="ja-JP"/>
        </w:rPr>
        <w:t>A</w:t>
      </w:r>
      <w:r w:rsidR="00F31438">
        <w:rPr>
          <w:szCs w:val="24"/>
          <w:lang w:val="en-US" w:eastAsia="ja-JP"/>
        </w:rPr>
        <w:t>nother possible cause of underestimation of the seismic moment is that the source fault length is longer than the surface fault length.</w:t>
      </w:r>
    </w:p>
    <w:p w:rsidR="000135C6" w:rsidRDefault="00F31438" w:rsidP="000135C6">
      <w:pPr>
        <w:numPr>
          <w:ilvl w:val="12"/>
          <w:numId w:val="0"/>
        </w:numPr>
        <w:rPr>
          <w:szCs w:val="24"/>
          <w:lang w:val="en-US" w:eastAsia="ja-JP"/>
        </w:rPr>
      </w:pPr>
      <w:r>
        <w:rPr>
          <w:rFonts w:hint="eastAsia"/>
          <w:szCs w:val="24"/>
          <w:lang w:val="en-US" w:eastAsia="ja-JP"/>
        </w:rPr>
        <w:t xml:space="preserve">In this study, the lower depth of </w:t>
      </w:r>
      <w:r>
        <w:rPr>
          <w:szCs w:val="24"/>
          <w:lang w:val="en-US" w:eastAsia="ja-JP"/>
        </w:rPr>
        <w:t xml:space="preserve">the </w:t>
      </w:r>
      <w:r>
        <w:rPr>
          <w:rFonts w:hint="eastAsia"/>
          <w:szCs w:val="24"/>
          <w:lang w:val="en-US" w:eastAsia="ja-JP"/>
        </w:rPr>
        <w:t xml:space="preserve">source fault was set as 18 km with reference to </w:t>
      </w:r>
      <w:r>
        <w:rPr>
          <w:szCs w:val="24"/>
          <w:lang w:val="en-US" w:eastAsia="ja-JP"/>
        </w:rPr>
        <w:t>aftershock distribution, but it was deeper than the depth of about 13 km which was evaluated from the hypocenter distribution before the earthquake. On the other hand, the dip angle of the source fault was set as 90 degrees</w:t>
      </w:r>
      <w:r w:rsidR="00DD6795">
        <w:rPr>
          <w:szCs w:val="24"/>
          <w:lang w:val="en-US" w:eastAsia="ja-JP"/>
        </w:rPr>
        <w:t xml:space="preserve"> based on the evaluation before the earthquake</w:t>
      </w:r>
      <w:r w:rsidR="00953A70">
        <w:rPr>
          <w:szCs w:val="24"/>
          <w:lang w:val="en-US" w:eastAsia="ja-JP"/>
        </w:rPr>
        <w:t xml:space="preserve"> is slightly different from</w:t>
      </w:r>
      <w:r>
        <w:rPr>
          <w:szCs w:val="24"/>
          <w:lang w:val="en-US" w:eastAsia="ja-JP"/>
        </w:rPr>
        <w:t xml:space="preserve"> 60</w:t>
      </w:r>
      <w:r w:rsidR="00DD6795">
        <w:rPr>
          <w:szCs w:val="24"/>
          <w:lang w:val="en-US" w:eastAsia="ja-JP"/>
        </w:rPr>
        <w:t>-</w:t>
      </w:r>
      <w:r>
        <w:rPr>
          <w:szCs w:val="24"/>
          <w:lang w:val="en-US" w:eastAsia="ja-JP"/>
        </w:rPr>
        <w:t xml:space="preserve">70 degrees </w:t>
      </w:r>
      <w:r w:rsidR="00953A70">
        <w:rPr>
          <w:szCs w:val="24"/>
          <w:lang w:val="en-US" w:eastAsia="ja-JP"/>
        </w:rPr>
        <w:t>applie</w:t>
      </w:r>
      <w:r>
        <w:rPr>
          <w:szCs w:val="24"/>
          <w:lang w:val="en-US" w:eastAsia="ja-JP"/>
        </w:rPr>
        <w:t>d in the source inversion analysis.</w:t>
      </w:r>
    </w:p>
    <w:p w:rsidR="009F31A8" w:rsidRDefault="0059443D" w:rsidP="000135C6">
      <w:pPr>
        <w:numPr>
          <w:ilvl w:val="12"/>
          <w:numId w:val="0"/>
        </w:numPr>
        <w:rPr>
          <w:szCs w:val="24"/>
          <w:lang w:val="en-US" w:eastAsia="ja-JP"/>
        </w:rPr>
      </w:pPr>
      <w:r>
        <w:rPr>
          <w:szCs w:val="24"/>
          <w:lang w:val="en-US" w:eastAsia="ja-JP"/>
        </w:rPr>
        <w:t>The s</w:t>
      </w:r>
      <w:r w:rsidR="00F31438">
        <w:rPr>
          <w:rFonts w:hint="eastAsia"/>
          <w:szCs w:val="24"/>
          <w:lang w:val="en-US" w:eastAsia="ja-JP"/>
        </w:rPr>
        <w:t xml:space="preserve">trong-motion simulation </w:t>
      </w:r>
      <w:r w:rsidR="00F31438">
        <w:rPr>
          <w:szCs w:val="24"/>
          <w:lang w:val="en-US" w:eastAsia="ja-JP"/>
        </w:rPr>
        <w:t xml:space="preserve">for </w:t>
      </w:r>
      <w:r w:rsidR="00F31438">
        <w:rPr>
          <w:rFonts w:hint="eastAsia"/>
          <w:szCs w:val="24"/>
          <w:lang w:val="en-US" w:eastAsia="ja-JP"/>
        </w:rPr>
        <w:t>the fault model</w:t>
      </w:r>
      <w:r w:rsidR="00F31438">
        <w:rPr>
          <w:szCs w:val="24"/>
          <w:lang w:val="en-US" w:eastAsia="ja-JP"/>
        </w:rPr>
        <w:t xml:space="preserve"> with the upper depth of the fault as 0</w:t>
      </w:r>
      <w:r w:rsidR="000135C6">
        <w:rPr>
          <w:szCs w:val="24"/>
          <w:lang w:val="en-US" w:eastAsia="ja-JP"/>
        </w:rPr>
        <w:t xml:space="preserve"> </w:t>
      </w:r>
      <w:r w:rsidR="00F31438">
        <w:rPr>
          <w:szCs w:val="24"/>
          <w:lang w:val="en-US" w:eastAsia="ja-JP"/>
        </w:rPr>
        <w:t xml:space="preserve">km </w:t>
      </w:r>
      <w:r w:rsidR="000135C6">
        <w:rPr>
          <w:szCs w:val="24"/>
          <w:lang w:val="en-US" w:eastAsia="ja-JP"/>
        </w:rPr>
        <w:t>show</w:t>
      </w:r>
      <w:r>
        <w:rPr>
          <w:szCs w:val="24"/>
          <w:lang w:val="en-US" w:eastAsia="ja-JP"/>
        </w:rPr>
        <w:t>s</w:t>
      </w:r>
      <w:r w:rsidR="000135C6">
        <w:rPr>
          <w:szCs w:val="24"/>
          <w:lang w:val="en-US" w:eastAsia="ja-JP"/>
        </w:rPr>
        <w:t xml:space="preserve"> that the variation of strong-motion is large very close to the surface fault whose shortest distance is within 1 km (</w:t>
      </w:r>
      <w:r w:rsidR="009E7003">
        <w:rPr>
          <w:rFonts w:hint="eastAsia"/>
          <w:szCs w:val="24"/>
          <w:lang w:val="en-US" w:eastAsia="ja-JP"/>
        </w:rPr>
        <w:t xml:space="preserve">see </w:t>
      </w:r>
      <w:r w:rsidR="009E7003" w:rsidRPr="00E50864">
        <w:rPr>
          <w:rFonts w:hint="eastAsia"/>
          <w:i/>
          <w:szCs w:val="24"/>
          <w:lang w:val="en-US" w:eastAsia="ja-JP"/>
        </w:rPr>
        <w:t>FIG.6</w:t>
      </w:r>
      <w:r w:rsidR="000135C6">
        <w:rPr>
          <w:szCs w:val="24"/>
          <w:lang w:val="en-US" w:eastAsia="ja-JP"/>
        </w:rPr>
        <w:t xml:space="preserve">). </w:t>
      </w:r>
      <w:r w:rsidR="00A81016">
        <w:rPr>
          <w:szCs w:val="24"/>
          <w:lang w:val="en-US" w:eastAsia="ja-JP"/>
        </w:rPr>
        <w:t>In order to reproduce the waveform at site 93048, the distance from surface fault to the site should be within 1 km, although it is about 2 km in our model</w:t>
      </w:r>
      <w:r w:rsidR="00B55910">
        <w:rPr>
          <w:szCs w:val="24"/>
          <w:lang w:val="en-US" w:eastAsia="ja-JP"/>
        </w:rPr>
        <w:t xml:space="preserve"> (see </w:t>
      </w:r>
      <w:r w:rsidR="00B55910" w:rsidRPr="00B55910">
        <w:rPr>
          <w:i/>
          <w:szCs w:val="24"/>
          <w:lang w:val="en-US" w:eastAsia="ja-JP"/>
        </w:rPr>
        <w:t>FIG.2</w:t>
      </w:r>
      <w:r w:rsidR="00B55910">
        <w:rPr>
          <w:szCs w:val="24"/>
          <w:lang w:val="en-US" w:eastAsia="ja-JP"/>
        </w:rPr>
        <w:t>)</w:t>
      </w:r>
      <w:r w:rsidR="00A81016">
        <w:rPr>
          <w:szCs w:val="24"/>
          <w:lang w:val="en-US" w:eastAsia="ja-JP"/>
        </w:rPr>
        <w:t xml:space="preserve">. </w:t>
      </w:r>
      <w:r w:rsidR="004812AD">
        <w:rPr>
          <w:szCs w:val="24"/>
          <w:lang w:val="en-US" w:eastAsia="ja-JP"/>
        </w:rPr>
        <w:t>In addition, i</w:t>
      </w:r>
      <w:r w:rsidR="000135C6">
        <w:rPr>
          <w:szCs w:val="24"/>
          <w:lang w:val="en-US" w:eastAsia="ja-JP"/>
        </w:rPr>
        <w:t xml:space="preserve">t is reported that the </w:t>
      </w:r>
      <w:r w:rsidR="00A81016">
        <w:rPr>
          <w:szCs w:val="24"/>
          <w:lang w:val="en-US" w:eastAsia="ja-JP"/>
        </w:rPr>
        <w:t>heavy</w:t>
      </w:r>
      <w:r w:rsidR="000135C6">
        <w:rPr>
          <w:szCs w:val="24"/>
          <w:lang w:val="en-US" w:eastAsia="ja-JP"/>
        </w:rPr>
        <w:t xml:space="preserve"> damage such as the collapse of wooden house was concentrated in </w:t>
      </w:r>
      <w:r w:rsidR="00A81016">
        <w:rPr>
          <w:szCs w:val="24"/>
          <w:lang w:val="en-US" w:eastAsia="ja-JP"/>
        </w:rPr>
        <w:t xml:space="preserve">small </w:t>
      </w:r>
      <w:r w:rsidR="00CB3E10">
        <w:rPr>
          <w:szCs w:val="24"/>
          <w:lang w:val="en-US" w:eastAsia="ja-JP"/>
        </w:rPr>
        <w:t>regions</w:t>
      </w:r>
      <w:r w:rsidR="00D741FA">
        <w:rPr>
          <w:szCs w:val="24"/>
          <w:lang w:val="en-US" w:eastAsia="ja-JP"/>
        </w:rPr>
        <w:t xml:space="preserve"> which </w:t>
      </w:r>
      <w:r w:rsidR="00CB3E10">
        <w:rPr>
          <w:szCs w:val="24"/>
          <w:lang w:val="en-US" w:eastAsia="ja-JP"/>
        </w:rPr>
        <w:t>are</w:t>
      </w:r>
      <w:r w:rsidR="00D741FA">
        <w:rPr>
          <w:szCs w:val="24"/>
          <w:lang w:val="en-US" w:eastAsia="ja-JP"/>
        </w:rPr>
        <w:t xml:space="preserve"> very close to </w:t>
      </w:r>
      <w:r w:rsidR="000135C6">
        <w:rPr>
          <w:szCs w:val="24"/>
          <w:lang w:val="en-US" w:eastAsia="ja-JP"/>
        </w:rPr>
        <w:t>the surface fault [1</w:t>
      </w:r>
      <w:r w:rsidR="00A81016">
        <w:rPr>
          <w:szCs w:val="24"/>
          <w:lang w:val="en-US" w:eastAsia="ja-JP"/>
        </w:rPr>
        <w:t>8</w:t>
      </w:r>
      <w:r w:rsidR="000135C6">
        <w:rPr>
          <w:rFonts w:hint="eastAsia"/>
          <w:szCs w:val="24"/>
          <w:lang w:val="en-US" w:eastAsia="ja-JP"/>
        </w:rPr>
        <w:t>]</w:t>
      </w:r>
      <w:r w:rsidR="000135C6">
        <w:rPr>
          <w:szCs w:val="24"/>
          <w:lang w:val="en-US" w:eastAsia="ja-JP"/>
        </w:rPr>
        <w:t xml:space="preserve">. </w:t>
      </w:r>
      <w:r w:rsidR="000135C6">
        <w:rPr>
          <w:lang w:val="en-US" w:eastAsia="ja-JP"/>
        </w:rPr>
        <w:t>Th</w:t>
      </w:r>
      <w:r w:rsidR="006456E4">
        <w:rPr>
          <w:lang w:val="en-US" w:eastAsia="ja-JP"/>
        </w:rPr>
        <w:t>e</w:t>
      </w:r>
      <w:r w:rsidR="000135C6">
        <w:rPr>
          <w:lang w:val="en-US" w:eastAsia="ja-JP"/>
        </w:rPr>
        <w:t>s</w:t>
      </w:r>
      <w:r w:rsidR="006456E4">
        <w:rPr>
          <w:lang w:val="en-US" w:eastAsia="ja-JP"/>
        </w:rPr>
        <w:t>e</w:t>
      </w:r>
      <w:r w:rsidR="000135C6">
        <w:rPr>
          <w:lang w:val="en-US" w:eastAsia="ja-JP"/>
        </w:rPr>
        <w:t xml:space="preserve"> </w:t>
      </w:r>
      <w:r w:rsidR="006456E4">
        <w:rPr>
          <w:lang w:val="en-US" w:eastAsia="ja-JP"/>
        </w:rPr>
        <w:t>facts imply</w:t>
      </w:r>
      <w:r w:rsidR="000135C6">
        <w:rPr>
          <w:lang w:val="en-US" w:eastAsia="ja-JP"/>
        </w:rPr>
        <w:t xml:space="preserve"> that the location and shape of the source fault in detail is extremely important for strong-motion evaluation at sites very c</w:t>
      </w:r>
      <w:r w:rsidR="00D741FA">
        <w:rPr>
          <w:lang w:val="en-US" w:eastAsia="ja-JP"/>
        </w:rPr>
        <w:t>lose to the source fault. In the</w:t>
      </w:r>
      <w:r w:rsidR="000135C6">
        <w:rPr>
          <w:lang w:val="en-US" w:eastAsia="ja-JP"/>
        </w:rPr>
        <w:t xml:space="preserve"> model of this study, the slip shallower than the seismogenic layer is assumed uniform, but actually inhomogeneous. Construction of source modeling method shallower than seismogenic layer in detail is a future problem.</w:t>
      </w:r>
    </w:p>
    <w:p w:rsidR="00A8604F" w:rsidRPr="00DA71C8" w:rsidRDefault="00DA71C8" w:rsidP="00487E6D">
      <w:pPr>
        <w:pStyle w:val="31"/>
        <w:rPr>
          <w:lang w:val="en-US"/>
        </w:rPr>
      </w:pPr>
      <w:r w:rsidRPr="00DA71C8">
        <w:rPr>
          <w:rFonts w:hint="eastAsia"/>
          <w:lang w:val="en-US" w:eastAsia="ja-JP"/>
        </w:rPr>
        <w:t>D</w:t>
      </w:r>
      <w:r w:rsidRPr="00DA71C8">
        <w:rPr>
          <w:lang w:val="en-US" w:eastAsia="ja-JP"/>
        </w:rPr>
        <w:t>iscussion</w:t>
      </w:r>
      <w:bookmarkStart w:id="0" w:name="_GoBack"/>
      <w:bookmarkEnd w:id="0"/>
    </w:p>
    <w:p w:rsidR="006E2457" w:rsidRPr="006E2457" w:rsidRDefault="004C57A4" w:rsidP="004C57A4">
      <w:pPr>
        <w:pStyle w:val="Textkrper"/>
        <w:rPr>
          <w:rFonts w:ascii="Times New Roman" w:hAnsi="Times New Roman"/>
          <w:sz w:val="24"/>
          <w:lang w:val="en-US"/>
        </w:rPr>
      </w:pPr>
      <w:r w:rsidRPr="006E2457">
        <w:rPr>
          <w:rFonts w:ascii="Times New Roman" w:hAnsi="Times New Roman"/>
          <w:sz w:val="24"/>
          <w:lang w:val="en-US"/>
        </w:rPr>
        <w:t xml:space="preserve">The Kumamoto earthquakes were earthquakes that were long-term evaluated by the headquarters of earthquake research promotion of Japan. The earthquakes occurred in a part of the Futagawa fault zone and the Hinagu fault zone where the seismic hazard maps with specified seismic source fault were published. Based on the knowledge obtained from the </w:t>
      </w:r>
      <w:r w:rsidRPr="006E2457">
        <w:rPr>
          <w:rFonts w:ascii="Times New Roman" w:hAnsi="Times New Roman"/>
          <w:sz w:val="24"/>
          <w:lang w:val="en-US"/>
        </w:rPr>
        <w:lastRenderedPageBreak/>
        <w:t xml:space="preserve">analysis of the Kumamoto earthquake, we consider problems in strong-motion prediction and seismic hazard analysis, especially handling of uncertainty in prediction of future events. </w:t>
      </w:r>
    </w:p>
    <w:p w:rsidR="00184A74" w:rsidRDefault="00184A74" w:rsidP="004C57A4">
      <w:pPr>
        <w:pStyle w:val="Textkrper"/>
        <w:rPr>
          <w:rFonts w:ascii="Times New Roman" w:hAnsi="Times New Roman"/>
          <w:color w:val="0070C0"/>
          <w:sz w:val="24"/>
          <w:lang w:val="en-US"/>
        </w:rPr>
      </w:pPr>
      <w:r w:rsidRPr="00177D4C">
        <w:rPr>
          <w:rFonts w:ascii="Times New Roman" w:hAnsi="Times New Roman"/>
          <w:color w:val="0070C0"/>
          <w:sz w:val="24"/>
          <w:lang w:val="en-US"/>
        </w:rPr>
        <w:t xml:space="preserve"> </w:t>
      </w:r>
    </w:p>
    <w:p w:rsidR="004C57A4" w:rsidRPr="00043E25" w:rsidRDefault="004C57A4" w:rsidP="004C57A4">
      <w:pPr>
        <w:pStyle w:val="Textkrper"/>
        <w:rPr>
          <w:rFonts w:ascii="Times New Roman" w:hAnsi="Times New Roman"/>
          <w:sz w:val="24"/>
          <w:lang w:val="en-US"/>
        </w:rPr>
      </w:pPr>
      <w:r w:rsidRPr="00043E25">
        <w:rPr>
          <w:rFonts w:ascii="Times New Roman" w:hAnsi="Times New Roman"/>
          <w:sz w:val="24"/>
          <w:lang w:val="en-US"/>
        </w:rPr>
        <w:t xml:space="preserve">(1) </w:t>
      </w:r>
      <w:r w:rsidR="00184A74" w:rsidRPr="00043E25">
        <w:rPr>
          <w:rFonts w:ascii="Times New Roman" w:hAnsi="Times New Roman"/>
          <w:sz w:val="24"/>
          <w:lang w:val="en-US"/>
        </w:rPr>
        <w:t>Modeling</w:t>
      </w:r>
      <w:r w:rsidRPr="00043E25">
        <w:rPr>
          <w:rFonts w:ascii="Times New Roman" w:hAnsi="Times New Roman"/>
          <w:sz w:val="24"/>
          <w:lang w:val="en-US"/>
        </w:rPr>
        <w:t xml:space="preserve"> of uncertaint</w:t>
      </w:r>
      <w:r w:rsidR="00184A74" w:rsidRPr="00043E25">
        <w:rPr>
          <w:rFonts w:ascii="Times New Roman" w:hAnsi="Times New Roman"/>
          <w:sz w:val="24"/>
          <w:lang w:val="en-US"/>
        </w:rPr>
        <w:t>ies</w:t>
      </w:r>
      <w:r w:rsidRPr="00043E25">
        <w:rPr>
          <w:rFonts w:ascii="Times New Roman" w:hAnsi="Times New Roman"/>
          <w:sz w:val="24"/>
          <w:lang w:val="en-US"/>
        </w:rPr>
        <w:t xml:space="preserve"> in </w:t>
      </w:r>
      <w:r w:rsidR="00184A74" w:rsidRPr="00043E25">
        <w:rPr>
          <w:rFonts w:ascii="Times New Roman" w:hAnsi="Times New Roman" w:hint="eastAsia"/>
          <w:sz w:val="24"/>
          <w:lang w:val="en-US" w:eastAsia="ja-JP"/>
        </w:rPr>
        <w:t>parameters</w:t>
      </w:r>
      <w:r w:rsidRPr="00043E25">
        <w:rPr>
          <w:rFonts w:ascii="Times New Roman" w:hAnsi="Times New Roman"/>
          <w:sz w:val="24"/>
          <w:lang w:val="en-US"/>
        </w:rPr>
        <w:t xml:space="preserve"> </w:t>
      </w:r>
      <w:r w:rsidR="00184A74" w:rsidRPr="00043E25">
        <w:rPr>
          <w:rFonts w:ascii="Times New Roman" w:hAnsi="Times New Roman"/>
          <w:sz w:val="24"/>
          <w:lang w:val="en-US"/>
        </w:rPr>
        <w:t>of source fault model</w:t>
      </w:r>
    </w:p>
    <w:p w:rsidR="004C57A4" w:rsidRPr="00043E25" w:rsidRDefault="00184A74" w:rsidP="004C57A4">
      <w:pPr>
        <w:pStyle w:val="Textkrper"/>
        <w:rPr>
          <w:rFonts w:ascii="Times New Roman" w:hAnsi="Times New Roman"/>
          <w:sz w:val="24"/>
          <w:lang w:val="en-US"/>
        </w:rPr>
      </w:pPr>
      <w:r w:rsidRPr="00043E25">
        <w:rPr>
          <w:rFonts w:ascii="Times New Roman" w:hAnsi="Times New Roman"/>
          <w:sz w:val="24"/>
          <w:lang w:val="en-US"/>
        </w:rPr>
        <w:t>We classify the uncertainty in assessment into aleatory variability and epistemic uncertainty. The aleatory variability is evaluated as a random variable, and the epistemic uncertainty is evaluated using a logic tree.</w:t>
      </w:r>
      <w:r w:rsidR="00FC2597" w:rsidRPr="00043E25">
        <w:rPr>
          <w:rFonts w:ascii="Times New Roman" w:hAnsi="Times New Roman"/>
          <w:sz w:val="24"/>
          <w:lang w:val="en-US"/>
        </w:rPr>
        <w:t xml:space="preserve"> </w:t>
      </w:r>
      <w:r w:rsidR="004C57A4" w:rsidRPr="00043E25">
        <w:rPr>
          <w:rFonts w:ascii="Times New Roman" w:hAnsi="Times New Roman"/>
          <w:sz w:val="24"/>
          <w:lang w:val="en-US"/>
        </w:rPr>
        <w:t>Considering the epistemic uncertainty with respect to the setting of the size of source fault, it is necessary to consider the following model in addition to the basic model ac</w:t>
      </w:r>
      <w:r w:rsidR="004C0705" w:rsidRPr="00043E25">
        <w:rPr>
          <w:rFonts w:ascii="Times New Roman" w:hAnsi="Times New Roman"/>
          <w:sz w:val="24"/>
          <w:lang w:val="en-US"/>
        </w:rPr>
        <w:t xml:space="preserve">cording to the current ‘recipe’, </w:t>
      </w:r>
      <w:r w:rsidR="004C57A4" w:rsidRPr="00043E25">
        <w:rPr>
          <w:rFonts w:ascii="Times New Roman" w:hAnsi="Times New Roman"/>
          <w:sz w:val="24"/>
          <w:lang w:val="en-US"/>
        </w:rPr>
        <w:t xml:space="preserve">1) </w:t>
      </w:r>
      <w:r w:rsidR="004C0705" w:rsidRPr="00043E25">
        <w:rPr>
          <w:rFonts w:ascii="Times New Roman" w:hAnsi="Times New Roman"/>
          <w:sz w:val="24"/>
          <w:lang w:val="en-US"/>
        </w:rPr>
        <w:t>m</w:t>
      </w:r>
      <w:r w:rsidR="004C57A4" w:rsidRPr="00043E25">
        <w:rPr>
          <w:rFonts w:ascii="Times New Roman" w:hAnsi="Times New Roman"/>
          <w:sz w:val="24"/>
          <w:lang w:val="en-US"/>
        </w:rPr>
        <w:t>odel assuming that the source fault length is longer than the surface fault length</w:t>
      </w:r>
      <w:r w:rsidR="004C0705" w:rsidRPr="00043E25">
        <w:rPr>
          <w:rFonts w:ascii="Times New Roman" w:hAnsi="Times New Roman"/>
          <w:sz w:val="24"/>
          <w:lang w:val="en-US"/>
        </w:rPr>
        <w:t xml:space="preserve">, </w:t>
      </w:r>
      <w:r w:rsidR="004C57A4" w:rsidRPr="00043E25">
        <w:rPr>
          <w:rFonts w:ascii="Times New Roman" w:hAnsi="Times New Roman"/>
          <w:sz w:val="24"/>
          <w:lang w:val="en-US"/>
        </w:rPr>
        <w:t xml:space="preserve">2) </w:t>
      </w:r>
      <w:r w:rsidR="004C0705" w:rsidRPr="00043E25">
        <w:rPr>
          <w:rFonts w:ascii="Times New Roman" w:hAnsi="Times New Roman"/>
          <w:sz w:val="24"/>
          <w:lang w:val="en-US"/>
        </w:rPr>
        <w:t>m</w:t>
      </w:r>
      <w:r w:rsidR="004C57A4" w:rsidRPr="00043E25">
        <w:rPr>
          <w:rFonts w:ascii="Times New Roman" w:hAnsi="Times New Roman"/>
          <w:sz w:val="24"/>
          <w:lang w:val="en-US"/>
        </w:rPr>
        <w:t>odel assuming that depth of lower end of fault slightly deeper than the lower limit of the seismogenic layer</w:t>
      </w:r>
      <w:r w:rsidR="004C0705" w:rsidRPr="00043E25">
        <w:rPr>
          <w:rFonts w:ascii="Times New Roman" w:hAnsi="Times New Roman"/>
          <w:sz w:val="24"/>
          <w:lang w:val="en-US"/>
        </w:rPr>
        <w:t xml:space="preserve">, </w:t>
      </w:r>
      <w:r w:rsidR="004C57A4" w:rsidRPr="00043E25">
        <w:rPr>
          <w:rFonts w:ascii="Times New Roman" w:hAnsi="Times New Roman"/>
          <w:sz w:val="24"/>
          <w:lang w:val="en-US"/>
        </w:rPr>
        <w:t xml:space="preserve">3) </w:t>
      </w:r>
      <w:r w:rsidR="004C0705" w:rsidRPr="00043E25">
        <w:rPr>
          <w:rFonts w:ascii="Times New Roman" w:hAnsi="Times New Roman"/>
          <w:sz w:val="24"/>
          <w:lang w:val="en-US"/>
        </w:rPr>
        <w:t>m</w:t>
      </w:r>
      <w:r w:rsidR="004C57A4" w:rsidRPr="00043E25">
        <w:rPr>
          <w:rFonts w:ascii="Times New Roman" w:hAnsi="Times New Roman"/>
          <w:sz w:val="24"/>
          <w:lang w:val="en-US"/>
        </w:rPr>
        <w:t>odel with the top of the source fault at 0 km (ground)</w:t>
      </w:r>
      <w:r w:rsidR="004C0705" w:rsidRPr="00043E25">
        <w:rPr>
          <w:rFonts w:ascii="Times New Roman" w:hAnsi="Times New Roman"/>
          <w:sz w:val="24"/>
          <w:lang w:val="en-US"/>
        </w:rPr>
        <w:t xml:space="preserve">, and </w:t>
      </w:r>
      <w:r w:rsidR="004C57A4" w:rsidRPr="00043E25">
        <w:rPr>
          <w:rFonts w:ascii="Times New Roman" w:hAnsi="Times New Roman"/>
          <w:sz w:val="24"/>
          <w:lang w:val="en-US"/>
        </w:rPr>
        <w:t xml:space="preserve">4) </w:t>
      </w:r>
      <w:r w:rsidR="004C0705" w:rsidRPr="00043E25">
        <w:rPr>
          <w:rFonts w:ascii="Times New Roman" w:hAnsi="Times New Roman"/>
          <w:sz w:val="24"/>
          <w:lang w:val="en-US"/>
        </w:rPr>
        <w:t>m</w:t>
      </w:r>
      <w:r w:rsidR="004C57A4" w:rsidRPr="00043E25">
        <w:rPr>
          <w:rFonts w:ascii="Times New Roman" w:hAnsi="Times New Roman"/>
          <w:sz w:val="24"/>
          <w:lang w:val="en-US"/>
        </w:rPr>
        <w:t>odel considering uncertainty in setting dip angle.</w:t>
      </w:r>
    </w:p>
    <w:p w:rsidR="004C57A4" w:rsidRPr="00043E25" w:rsidRDefault="004C57A4" w:rsidP="004C57A4">
      <w:pPr>
        <w:pStyle w:val="Textkrper"/>
        <w:rPr>
          <w:rFonts w:ascii="Times New Roman" w:hAnsi="Times New Roman"/>
          <w:sz w:val="24"/>
          <w:lang w:val="en-US"/>
        </w:rPr>
      </w:pPr>
      <w:r w:rsidRPr="00043E25">
        <w:rPr>
          <w:rFonts w:ascii="Times New Roman" w:hAnsi="Times New Roman"/>
          <w:sz w:val="24"/>
          <w:lang w:val="en-US"/>
        </w:rPr>
        <w:t>It is important to properly consider the epistemic uncertainty accompanying the selection of the equation and the aleatory variability included in the prediction in parameter setting of the source fault mo</w:t>
      </w:r>
      <w:r w:rsidR="004C0705" w:rsidRPr="00043E25">
        <w:rPr>
          <w:rFonts w:ascii="Times New Roman" w:hAnsi="Times New Roman"/>
          <w:sz w:val="24"/>
          <w:lang w:val="en-US"/>
        </w:rPr>
        <w:t xml:space="preserve">del using the empirical formula, such as, </w:t>
      </w:r>
      <w:r w:rsidRPr="00043E25">
        <w:rPr>
          <w:rFonts w:ascii="Times New Roman" w:hAnsi="Times New Roman"/>
          <w:sz w:val="24"/>
          <w:lang w:val="en-US"/>
        </w:rPr>
        <w:t xml:space="preserve">1) </w:t>
      </w:r>
      <w:r w:rsidR="004C0705" w:rsidRPr="00043E25">
        <w:rPr>
          <w:rFonts w:ascii="Times New Roman" w:hAnsi="Times New Roman"/>
          <w:sz w:val="24"/>
          <w:lang w:val="en-US"/>
        </w:rPr>
        <w:t>e</w:t>
      </w:r>
      <w:r w:rsidRPr="00043E25">
        <w:rPr>
          <w:rFonts w:ascii="Times New Roman" w:hAnsi="Times New Roman"/>
          <w:sz w:val="24"/>
          <w:lang w:val="en-US"/>
        </w:rPr>
        <w:t>pistemic uncertainty on selection of empirical formula in L-Mo relation and Mj-Mw relation</w:t>
      </w:r>
      <w:r w:rsidR="004C0705" w:rsidRPr="00043E25">
        <w:rPr>
          <w:rFonts w:ascii="Times New Roman" w:hAnsi="Times New Roman"/>
          <w:sz w:val="24"/>
          <w:lang w:val="en-US"/>
        </w:rPr>
        <w:t xml:space="preserve">, and </w:t>
      </w:r>
      <w:r w:rsidRPr="00043E25">
        <w:rPr>
          <w:rFonts w:ascii="Times New Roman" w:hAnsi="Times New Roman"/>
          <w:sz w:val="24"/>
          <w:lang w:val="en-US"/>
        </w:rPr>
        <w:t xml:space="preserve">2) </w:t>
      </w:r>
      <w:r w:rsidR="004C0705" w:rsidRPr="00043E25">
        <w:rPr>
          <w:rFonts w:ascii="Times New Roman" w:hAnsi="Times New Roman"/>
          <w:sz w:val="24"/>
          <w:lang w:val="en-US"/>
        </w:rPr>
        <w:t>a</w:t>
      </w:r>
      <w:r w:rsidRPr="00043E25">
        <w:rPr>
          <w:rFonts w:ascii="Times New Roman" w:hAnsi="Times New Roman"/>
          <w:sz w:val="24"/>
          <w:lang w:val="en-US"/>
        </w:rPr>
        <w:t>leatory variability in Mo-S relation and Mo-A relation.</w:t>
      </w:r>
    </w:p>
    <w:p w:rsidR="004C57A4" w:rsidRPr="00043E25" w:rsidRDefault="004C57A4" w:rsidP="004C57A4">
      <w:pPr>
        <w:pStyle w:val="Textkrper"/>
        <w:rPr>
          <w:rFonts w:ascii="Times New Roman" w:hAnsi="Times New Roman"/>
          <w:sz w:val="24"/>
          <w:lang w:val="en-US"/>
        </w:rPr>
      </w:pPr>
      <w:r w:rsidRPr="00043E25">
        <w:rPr>
          <w:rFonts w:ascii="Times New Roman" w:hAnsi="Times New Roman"/>
          <w:sz w:val="24"/>
          <w:lang w:val="en-US"/>
        </w:rPr>
        <w:t>In the strong-motion prediction by simulation using the fault model, it is necessary to evaluate both "average ground motion level" and "variation of ground motion due to model uncertainty". For that purpose, it is necessary to consider the uncertainty in the inner parameters of source fault model. It is important to consider the uncertainty concerning starting point of rupture, asperity position, inhomogeneity of effective stress of asperity, the setting of slip velocity time function in the shallower part than the seismogenic layer. In the prediction using simulation, it is necessary to clarify relationship between the reproduction model of the past earthquake and the model for prediction.</w:t>
      </w:r>
    </w:p>
    <w:p w:rsidR="00484058" w:rsidRPr="00043E25" w:rsidRDefault="00484058" w:rsidP="00484058">
      <w:pPr>
        <w:pStyle w:val="Textkrper"/>
        <w:rPr>
          <w:rFonts w:ascii="Times New Roman" w:hAnsi="Times New Roman"/>
          <w:sz w:val="24"/>
          <w:lang w:val="en-US"/>
        </w:rPr>
      </w:pPr>
    </w:p>
    <w:p w:rsidR="00484058" w:rsidRPr="00043E25" w:rsidRDefault="00484058" w:rsidP="00484058">
      <w:pPr>
        <w:pStyle w:val="Textkrper"/>
        <w:rPr>
          <w:rFonts w:ascii="Times New Roman" w:hAnsi="Times New Roman"/>
          <w:sz w:val="24"/>
          <w:lang w:val="en-US"/>
        </w:rPr>
      </w:pPr>
      <w:r w:rsidRPr="00043E25">
        <w:rPr>
          <w:rFonts w:ascii="Times New Roman" w:hAnsi="Times New Roman"/>
          <w:sz w:val="24"/>
          <w:lang w:val="en-US"/>
        </w:rPr>
        <w:t>(2) Construction of strong-motion evaluation method for sites very close to source faults.</w:t>
      </w:r>
    </w:p>
    <w:p w:rsidR="0044004D" w:rsidRPr="00043E25" w:rsidRDefault="0044004D" w:rsidP="00484058">
      <w:pPr>
        <w:pStyle w:val="Textkrper"/>
        <w:rPr>
          <w:rFonts w:ascii="Times New Roman" w:hAnsi="Times New Roman"/>
          <w:sz w:val="24"/>
          <w:lang w:val="en-US"/>
        </w:rPr>
      </w:pPr>
      <w:r w:rsidRPr="00043E25">
        <w:rPr>
          <w:rFonts w:ascii="Times New Roman" w:hAnsi="Times New Roman"/>
          <w:sz w:val="24"/>
          <w:lang w:val="en-US"/>
        </w:rPr>
        <w:t>I</w:t>
      </w:r>
      <w:r w:rsidR="004C0705" w:rsidRPr="00043E25">
        <w:rPr>
          <w:rFonts w:ascii="Times New Roman" w:hAnsi="Times New Roman"/>
          <w:sz w:val="24"/>
          <w:lang w:val="en-US"/>
        </w:rPr>
        <w:t xml:space="preserve">t is reported that the heavy damage such as the collapse of wooden house was concentrated in small regions which are very close to the surface fault </w:t>
      </w:r>
      <w:r w:rsidRPr="00043E25">
        <w:rPr>
          <w:rFonts w:ascii="Times New Roman" w:hAnsi="Times New Roman"/>
          <w:sz w:val="24"/>
          <w:lang w:val="en-US"/>
        </w:rPr>
        <w:t>of the Kumamoto earthquake</w:t>
      </w:r>
      <w:r w:rsidR="004C0705" w:rsidRPr="00043E25">
        <w:rPr>
          <w:rFonts w:ascii="Times New Roman" w:hAnsi="Times New Roman"/>
          <w:sz w:val="24"/>
          <w:lang w:val="en-US"/>
        </w:rPr>
        <w:t>. These facts imply that the location and shape of the source fault in detail is extremely important for strong-motion evaluation at sites very close to the source fault.</w:t>
      </w:r>
      <w:r w:rsidRPr="00043E25">
        <w:rPr>
          <w:rFonts w:ascii="Times New Roman" w:hAnsi="Times New Roman"/>
          <w:sz w:val="24"/>
          <w:lang w:val="en-US"/>
        </w:rPr>
        <w:t xml:space="preserve"> </w:t>
      </w:r>
      <w:r w:rsidR="00484058" w:rsidRPr="00043E25">
        <w:rPr>
          <w:rFonts w:ascii="Times New Roman" w:hAnsi="Times New Roman"/>
          <w:sz w:val="24"/>
          <w:lang w:val="en-US"/>
        </w:rPr>
        <w:t xml:space="preserve">In order to predict the strong ground motion in the very vicinity of the fault, detailed modeling of the </w:t>
      </w:r>
      <w:r w:rsidRPr="00043E25">
        <w:rPr>
          <w:rFonts w:ascii="Times New Roman" w:hAnsi="Times New Roman"/>
          <w:sz w:val="24"/>
          <w:lang w:val="en-US"/>
        </w:rPr>
        <w:t>location</w:t>
      </w:r>
      <w:r w:rsidR="00484058" w:rsidRPr="00043E25">
        <w:rPr>
          <w:rFonts w:ascii="Times New Roman" w:hAnsi="Times New Roman"/>
          <w:sz w:val="24"/>
          <w:lang w:val="en-US"/>
        </w:rPr>
        <w:t xml:space="preserve"> and shape of the source fault with the top end depth of 0 km is necessary. </w:t>
      </w:r>
      <w:r w:rsidRPr="00043E25">
        <w:rPr>
          <w:rFonts w:ascii="Times New Roman" w:hAnsi="Times New Roman"/>
          <w:sz w:val="24"/>
          <w:lang w:val="en-US"/>
        </w:rPr>
        <w:t xml:space="preserve">Construction of source modeling method shallower than seismogenic layer in detail is an important problem. </w:t>
      </w:r>
    </w:p>
    <w:p w:rsidR="00484058" w:rsidRPr="00043E25" w:rsidRDefault="00484058" w:rsidP="004C57A4">
      <w:pPr>
        <w:pStyle w:val="Textkrper"/>
        <w:rPr>
          <w:rFonts w:ascii="Times New Roman" w:hAnsi="Times New Roman"/>
          <w:sz w:val="24"/>
          <w:lang w:val="en-US"/>
        </w:rPr>
      </w:pPr>
    </w:p>
    <w:p w:rsidR="0044004D" w:rsidRPr="00043E25" w:rsidRDefault="004C57A4" w:rsidP="004C57A4">
      <w:pPr>
        <w:pStyle w:val="Textkrper"/>
        <w:rPr>
          <w:rFonts w:ascii="Times New Roman" w:hAnsi="Times New Roman"/>
          <w:sz w:val="24"/>
          <w:lang w:val="en-US"/>
        </w:rPr>
      </w:pPr>
      <w:r w:rsidRPr="00043E25">
        <w:rPr>
          <w:rFonts w:ascii="Times New Roman" w:hAnsi="Times New Roman"/>
          <w:sz w:val="24"/>
          <w:lang w:val="en-US"/>
        </w:rPr>
        <w:t>(</w:t>
      </w:r>
      <w:r w:rsidR="00484058" w:rsidRPr="00043E25">
        <w:rPr>
          <w:rFonts w:ascii="Times New Roman" w:hAnsi="Times New Roman"/>
          <w:sz w:val="24"/>
          <w:lang w:val="en-US"/>
        </w:rPr>
        <w:t>3</w:t>
      </w:r>
      <w:r w:rsidRPr="00043E25">
        <w:rPr>
          <w:rFonts w:ascii="Times New Roman" w:hAnsi="Times New Roman"/>
          <w:sz w:val="24"/>
          <w:lang w:val="en-US"/>
        </w:rPr>
        <w:t xml:space="preserve">) </w:t>
      </w:r>
      <w:r w:rsidR="0044004D" w:rsidRPr="00043E25">
        <w:rPr>
          <w:rFonts w:ascii="Times New Roman" w:hAnsi="Times New Roman"/>
          <w:sz w:val="24"/>
          <w:lang w:val="en-US"/>
        </w:rPr>
        <w:t>Modeling of earthquakes occurring on active faults whose magnitudes are smaller than 6.8.</w:t>
      </w:r>
    </w:p>
    <w:p w:rsidR="004C57A4" w:rsidRPr="00043E25" w:rsidRDefault="004C57A4" w:rsidP="004C57A4">
      <w:pPr>
        <w:pStyle w:val="Textkrper"/>
        <w:rPr>
          <w:rFonts w:ascii="Times New Roman" w:hAnsi="Times New Roman"/>
          <w:sz w:val="24"/>
          <w:lang w:val="en-US"/>
        </w:rPr>
      </w:pPr>
      <w:r w:rsidRPr="00043E25">
        <w:rPr>
          <w:rFonts w:ascii="Times New Roman" w:hAnsi="Times New Roman"/>
          <w:sz w:val="24"/>
          <w:lang w:val="en-US"/>
        </w:rPr>
        <w:t xml:space="preserve">The earthquake on April 14 (M6.5), which is thought to be a smaller earthquake than the characteristic one, but the maximum seismic intensity 7 is observed. </w:t>
      </w:r>
      <w:r w:rsidR="00043E25" w:rsidRPr="00043E25">
        <w:rPr>
          <w:rFonts w:ascii="Times New Roman" w:hAnsi="Times New Roman"/>
          <w:sz w:val="24"/>
          <w:lang w:val="en-US"/>
        </w:rPr>
        <w:t xml:space="preserve">In the seismic hazard analysis, it is extremely important to model smaller earthquakes that occur frequently than the characteristic one. </w:t>
      </w:r>
      <w:r w:rsidRPr="00043E25">
        <w:rPr>
          <w:rFonts w:ascii="Times New Roman" w:hAnsi="Times New Roman"/>
          <w:sz w:val="24"/>
          <w:lang w:val="en-US"/>
        </w:rPr>
        <w:t xml:space="preserve">Modeling </w:t>
      </w:r>
      <w:r w:rsidR="00043E25" w:rsidRPr="00043E25">
        <w:rPr>
          <w:rFonts w:ascii="Times New Roman" w:hAnsi="Times New Roman"/>
          <w:sz w:val="24"/>
          <w:lang w:val="en-US"/>
        </w:rPr>
        <w:t xml:space="preserve">of </w:t>
      </w:r>
      <w:r w:rsidRPr="00043E25">
        <w:rPr>
          <w:rFonts w:ascii="Times New Roman" w:hAnsi="Times New Roman"/>
          <w:sz w:val="24"/>
          <w:lang w:val="en-US"/>
        </w:rPr>
        <w:t xml:space="preserve">magnitude and occurrence frequency </w:t>
      </w:r>
      <w:r w:rsidR="00043E25" w:rsidRPr="00043E25">
        <w:rPr>
          <w:rFonts w:ascii="Times New Roman" w:hAnsi="Times New Roman"/>
          <w:sz w:val="24"/>
          <w:lang w:val="en-US"/>
        </w:rPr>
        <w:t>for</w:t>
      </w:r>
      <w:r w:rsidRPr="00043E25">
        <w:rPr>
          <w:rFonts w:ascii="Times New Roman" w:hAnsi="Times New Roman"/>
          <w:sz w:val="24"/>
          <w:lang w:val="en-US"/>
        </w:rPr>
        <w:t xml:space="preserve"> </w:t>
      </w:r>
      <w:r w:rsidR="00043E25" w:rsidRPr="00043E25">
        <w:rPr>
          <w:rFonts w:ascii="Times New Roman" w:hAnsi="Times New Roman"/>
          <w:sz w:val="24"/>
          <w:lang w:val="en-US"/>
        </w:rPr>
        <w:t xml:space="preserve">one size </w:t>
      </w:r>
      <w:r w:rsidRPr="00043E25">
        <w:rPr>
          <w:rFonts w:ascii="Times New Roman" w:hAnsi="Times New Roman"/>
          <w:sz w:val="24"/>
          <w:lang w:val="en-US"/>
        </w:rPr>
        <w:t>smaller earthquakes than the characteristic one is an important issue</w:t>
      </w:r>
      <w:r w:rsidR="0044004D" w:rsidRPr="00043E25">
        <w:rPr>
          <w:rFonts w:ascii="Times New Roman" w:hAnsi="Times New Roman"/>
          <w:sz w:val="24"/>
          <w:lang w:val="en-US"/>
        </w:rPr>
        <w:t>.</w:t>
      </w:r>
    </w:p>
    <w:p w:rsidR="0044004D" w:rsidRPr="00DA71C8" w:rsidRDefault="0044004D" w:rsidP="004C57A4">
      <w:pPr>
        <w:pStyle w:val="Textkrper"/>
        <w:rPr>
          <w:rFonts w:ascii="Times New Roman" w:hAnsi="Times New Roman"/>
          <w:sz w:val="24"/>
          <w:lang w:val="en-US"/>
        </w:rPr>
      </w:pPr>
    </w:p>
    <w:p w:rsidR="004C57A4" w:rsidRDefault="004C57A4" w:rsidP="004C57A4">
      <w:pPr>
        <w:pStyle w:val="Textkrper"/>
        <w:rPr>
          <w:b/>
          <w:sz w:val="28"/>
        </w:rPr>
      </w:pPr>
    </w:p>
    <w:p w:rsidR="004C57A4" w:rsidRPr="00BE4875" w:rsidRDefault="004C57A4" w:rsidP="004C57A4">
      <w:pPr>
        <w:pStyle w:val="Textkrper"/>
        <w:rPr>
          <w:b/>
          <w:sz w:val="24"/>
          <w:szCs w:val="24"/>
        </w:rPr>
      </w:pPr>
      <w:r w:rsidRPr="00BE4875">
        <w:rPr>
          <w:b/>
          <w:sz w:val="24"/>
          <w:szCs w:val="24"/>
        </w:rPr>
        <w:lastRenderedPageBreak/>
        <w:t xml:space="preserve">4. </w:t>
      </w:r>
      <w:r>
        <w:rPr>
          <w:b/>
          <w:sz w:val="24"/>
          <w:szCs w:val="24"/>
        </w:rPr>
        <w:t xml:space="preserve"> </w:t>
      </w:r>
      <w:r w:rsidRPr="00BE4875">
        <w:rPr>
          <w:b/>
          <w:sz w:val="24"/>
          <w:szCs w:val="24"/>
        </w:rPr>
        <w:t>Conclusions</w:t>
      </w:r>
    </w:p>
    <w:p w:rsidR="004C57A4" w:rsidRPr="00043E25" w:rsidRDefault="004C57A4" w:rsidP="004C57A4">
      <w:pPr>
        <w:pStyle w:val="Textkrper"/>
        <w:rPr>
          <w:sz w:val="24"/>
          <w:szCs w:val="24"/>
        </w:rPr>
      </w:pPr>
      <w:r w:rsidRPr="00043E25">
        <w:rPr>
          <w:sz w:val="24"/>
          <w:szCs w:val="24"/>
        </w:rPr>
        <w:t>The 2016 Kumamoto earthquake sequence occurred on active faults where strong-motion evaluation was executed based on the long-term evaluation and strong-motion prediction method ‘Recipe’ by Headquarters for Earthquake Research Promotion (HERP). The magnitude of first large earthquake occurred on April 14 (M6.5) at a part of the Hinagu fault zone was smaller than that evaluated by HERP (about M6.8) before the earthquake. On the other hand, the largest earthquake occurred on April 16 (M7.3) at a part of the Futagawa fault zone was larger than that by HERP (about M7.0).</w:t>
      </w:r>
    </w:p>
    <w:p w:rsidR="004C57A4" w:rsidRPr="00043E25" w:rsidRDefault="004C57A4" w:rsidP="004C57A4">
      <w:pPr>
        <w:pStyle w:val="Textkrper"/>
        <w:rPr>
          <w:sz w:val="24"/>
          <w:szCs w:val="24"/>
        </w:rPr>
      </w:pPr>
      <w:r w:rsidRPr="00043E25">
        <w:rPr>
          <w:sz w:val="24"/>
          <w:szCs w:val="24"/>
        </w:rPr>
        <w:t>Here we examined whether strong-motion evaluation results based on the ’Recipe’ could predict observations if the fault length on the ground surface, the fault area and the seismic moment of the target earthquake were evaluated appropriately before the earthquake. As a result, we found the following things.</w:t>
      </w:r>
    </w:p>
    <w:p w:rsidR="004C57A4" w:rsidRPr="00043E25" w:rsidRDefault="004C57A4" w:rsidP="004C57A4">
      <w:pPr>
        <w:pStyle w:val="Textkrper"/>
        <w:rPr>
          <w:sz w:val="24"/>
          <w:szCs w:val="24"/>
        </w:rPr>
      </w:pPr>
      <w:r w:rsidRPr="00043E25">
        <w:rPr>
          <w:rFonts w:hint="eastAsia"/>
          <w:sz w:val="24"/>
          <w:szCs w:val="24"/>
        </w:rPr>
        <w:t>・</w:t>
      </w:r>
      <w:r w:rsidRPr="00043E25">
        <w:rPr>
          <w:rFonts w:hint="eastAsia"/>
          <w:sz w:val="24"/>
          <w:szCs w:val="24"/>
        </w:rPr>
        <w:t xml:space="preserve">Distribution of calculated strong-motion parameter, such as peak velocity or JMA seismic intensity, was comparable with observed one if an appropriate seismic moment was given. </w:t>
      </w:r>
    </w:p>
    <w:p w:rsidR="004C57A4" w:rsidRPr="00043E25" w:rsidRDefault="004C57A4" w:rsidP="004C57A4">
      <w:pPr>
        <w:pStyle w:val="Textkrper"/>
        <w:rPr>
          <w:sz w:val="24"/>
          <w:szCs w:val="24"/>
        </w:rPr>
      </w:pPr>
      <w:r w:rsidRPr="00043E25">
        <w:rPr>
          <w:rFonts w:hint="eastAsia"/>
          <w:sz w:val="24"/>
          <w:szCs w:val="24"/>
        </w:rPr>
        <w:t>・</w:t>
      </w:r>
      <w:r w:rsidRPr="00043E25">
        <w:rPr>
          <w:rFonts w:hint="eastAsia"/>
          <w:sz w:val="24"/>
          <w:szCs w:val="24"/>
        </w:rPr>
        <w:t xml:space="preserve">However, </w:t>
      </w:r>
      <w:r w:rsidR="00FC2597" w:rsidRPr="00043E25">
        <w:rPr>
          <w:sz w:val="24"/>
          <w:szCs w:val="24"/>
        </w:rPr>
        <w:t>t</w:t>
      </w:r>
      <w:r w:rsidRPr="00043E25">
        <w:rPr>
          <w:rFonts w:hint="eastAsia"/>
          <w:sz w:val="24"/>
          <w:szCs w:val="24"/>
        </w:rPr>
        <w:t>he large amplitude of ground motion observed at sites very close to the source fault cannot simulate even if the appropriate seismic moment was given.</w:t>
      </w:r>
    </w:p>
    <w:p w:rsidR="004C57A4" w:rsidRPr="00043E25" w:rsidRDefault="004C57A4" w:rsidP="004C57A4">
      <w:pPr>
        <w:pStyle w:val="Textkrper"/>
        <w:rPr>
          <w:sz w:val="24"/>
          <w:szCs w:val="24"/>
        </w:rPr>
      </w:pPr>
      <w:r w:rsidRPr="00043E25">
        <w:rPr>
          <w:rFonts w:hint="eastAsia"/>
          <w:sz w:val="24"/>
          <w:szCs w:val="24"/>
        </w:rPr>
        <w:t>・</w:t>
      </w:r>
      <w:r w:rsidRPr="00043E25">
        <w:rPr>
          <w:rFonts w:hint="eastAsia"/>
          <w:sz w:val="24"/>
          <w:szCs w:val="24"/>
        </w:rPr>
        <w:t>The seismic moment of M7.3 event was underestimated if we use a mean value calculated from empirical relationships in the</w:t>
      </w:r>
      <w:r w:rsidRPr="00043E25">
        <w:rPr>
          <w:sz w:val="24"/>
          <w:szCs w:val="24"/>
        </w:rPr>
        <w:t xml:space="preserve"> ‘</w:t>
      </w:r>
      <w:r w:rsidRPr="00043E25">
        <w:rPr>
          <w:rFonts w:hint="eastAsia"/>
          <w:sz w:val="24"/>
          <w:szCs w:val="24"/>
        </w:rPr>
        <w:t>Recipe</w:t>
      </w:r>
      <w:r w:rsidRPr="00043E25">
        <w:rPr>
          <w:sz w:val="24"/>
          <w:szCs w:val="24"/>
        </w:rPr>
        <w:t>’</w:t>
      </w:r>
      <w:r w:rsidRPr="00043E25">
        <w:rPr>
          <w:rFonts w:hint="eastAsia"/>
          <w:sz w:val="24"/>
          <w:szCs w:val="24"/>
        </w:rPr>
        <w:t>.</w:t>
      </w:r>
    </w:p>
    <w:p w:rsidR="004C57A4" w:rsidRPr="00043E25" w:rsidRDefault="004C57A4" w:rsidP="004C57A4">
      <w:pPr>
        <w:pStyle w:val="Textkrper"/>
        <w:rPr>
          <w:sz w:val="24"/>
          <w:szCs w:val="24"/>
        </w:rPr>
      </w:pPr>
      <w:r w:rsidRPr="00043E25">
        <w:rPr>
          <w:sz w:val="24"/>
          <w:szCs w:val="24"/>
        </w:rPr>
        <w:t>Based on the above results, we suggest tentative plans to improve strong-motion evaluation method for earthquakes occurring on active faults as follows:</w:t>
      </w:r>
    </w:p>
    <w:p w:rsidR="004C57A4" w:rsidRPr="00043E25" w:rsidRDefault="004C57A4" w:rsidP="004C57A4">
      <w:pPr>
        <w:pStyle w:val="Textkrper"/>
        <w:rPr>
          <w:sz w:val="24"/>
          <w:szCs w:val="24"/>
        </w:rPr>
      </w:pPr>
      <w:r w:rsidRPr="00043E25">
        <w:rPr>
          <w:sz w:val="24"/>
          <w:szCs w:val="24"/>
        </w:rPr>
        <w:t>1)  Modeling of uncertainties in magnitude for earthquakes occurring on active faults.</w:t>
      </w:r>
    </w:p>
    <w:p w:rsidR="00484058" w:rsidRPr="00043E25" w:rsidRDefault="00484058" w:rsidP="004C57A4">
      <w:pPr>
        <w:pStyle w:val="Textkrper"/>
        <w:rPr>
          <w:sz w:val="24"/>
          <w:szCs w:val="24"/>
        </w:rPr>
      </w:pPr>
      <w:r w:rsidRPr="00043E25">
        <w:rPr>
          <w:sz w:val="24"/>
          <w:szCs w:val="24"/>
        </w:rPr>
        <w:t>2)  Construction of strong-motion evaluation method for sites very close to source faults.</w:t>
      </w:r>
    </w:p>
    <w:p w:rsidR="004C57A4" w:rsidRPr="00043E25" w:rsidRDefault="004C57A4" w:rsidP="004C57A4">
      <w:pPr>
        <w:pStyle w:val="Textkrper"/>
        <w:rPr>
          <w:sz w:val="24"/>
          <w:szCs w:val="24"/>
        </w:rPr>
      </w:pPr>
      <w:r w:rsidRPr="00043E25">
        <w:rPr>
          <w:sz w:val="24"/>
          <w:szCs w:val="24"/>
        </w:rPr>
        <w:t>3)  Modeling of earthquakes occurring on active faults whose magnitudes are smaller than 6.8.</w:t>
      </w:r>
    </w:p>
    <w:p w:rsidR="004C57A4" w:rsidRDefault="004C57A4" w:rsidP="004C57A4">
      <w:pPr>
        <w:pStyle w:val="Textkrper"/>
        <w:rPr>
          <w:b/>
          <w:sz w:val="28"/>
        </w:rPr>
      </w:pPr>
    </w:p>
    <w:p w:rsidR="004C57A4" w:rsidRDefault="004C57A4" w:rsidP="004C57A4">
      <w:pPr>
        <w:pStyle w:val="Textkrper"/>
        <w:rPr>
          <w:b/>
          <w:sz w:val="28"/>
        </w:rPr>
      </w:pPr>
    </w:p>
    <w:p w:rsidR="004C57A4" w:rsidRPr="007A0D6D" w:rsidRDefault="004C57A4" w:rsidP="004C57A4">
      <w:pPr>
        <w:pStyle w:val="Textkrper"/>
        <w:rPr>
          <w:b/>
          <w:sz w:val="24"/>
          <w:szCs w:val="24"/>
        </w:rPr>
      </w:pPr>
      <w:r w:rsidRPr="007A0D6D">
        <w:rPr>
          <w:b/>
          <w:sz w:val="24"/>
          <w:szCs w:val="24"/>
        </w:rPr>
        <w:t>Acknowledgements</w:t>
      </w:r>
    </w:p>
    <w:p w:rsidR="004C57A4" w:rsidRPr="005D3D5F" w:rsidRDefault="004C57A4" w:rsidP="004C57A4">
      <w:pPr>
        <w:pStyle w:val="Textkrper"/>
        <w:rPr>
          <w:sz w:val="24"/>
          <w:szCs w:val="24"/>
        </w:rPr>
      </w:pPr>
      <w:r w:rsidRPr="005D3D5F">
        <w:rPr>
          <w:sz w:val="24"/>
          <w:szCs w:val="24"/>
        </w:rPr>
        <w:t xml:space="preserve">This study was performed under the direction of the Earthquake Research Committee, the subcommittee for long-term evaluations and the subcommittee for evaluations of strong ground motion. This study was conducted as a part of the Research Project on </w:t>
      </w:r>
      <w:r>
        <w:rPr>
          <w:sz w:val="24"/>
          <w:szCs w:val="24"/>
        </w:rPr>
        <w:t>hazard and risk assessment for natural disasters</w:t>
      </w:r>
      <w:r w:rsidRPr="005D3D5F">
        <w:rPr>
          <w:sz w:val="24"/>
          <w:szCs w:val="24"/>
        </w:rPr>
        <w:t xml:space="preserve"> by NIED.</w:t>
      </w:r>
    </w:p>
    <w:p w:rsidR="004C57A4" w:rsidRDefault="004C57A4" w:rsidP="004C57A4">
      <w:pPr>
        <w:pStyle w:val="Textkrper"/>
        <w:rPr>
          <w:b/>
          <w:sz w:val="24"/>
        </w:rPr>
      </w:pPr>
    </w:p>
    <w:p w:rsidR="00A8604F" w:rsidRDefault="00A8604F">
      <w:pPr>
        <w:pStyle w:val="Textkrper"/>
        <w:rPr>
          <w:b/>
          <w:sz w:val="24"/>
        </w:rPr>
      </w:pPr>
      <w:r>
        <w:rPr>
          <w:b/>
          <w:sz w:val="28"/>
        </w:rPr>
        <w:br w:type="page"/>
      </w:r>
    </w:p>
    <w:p w:rsidR="00A8604F" w:rsidRPr="005026D8" w:rsidRDefault="00EF037A" w:rsidP="005026D8">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left="567" w:hanging="567"/>
        <w:jc w:val="center"/>
        <w:rPr>
          <w:b/>
        </w:rPr>
      </w:pPr>
      <w:r w:rsidRPr="005026D8">
        <w:rPr>
          <w:b/>
        </w:rPr>
        <w:lastRenderedPageBreak/>
        <w:t>REFERENCES</w:t>
      </w:r>
    </w:p>
    <w:p w:rsidR="00A944D2" w:rsidRPr="00A944D2" w:rsidRDefault="00121B90" w:rsidP="00121B90">
      <w:pPr>
        <w:pStyle w:val="afff"/>
        <w:numPr>
          <w:ilvl w:val="0"/>
          <w:numId w:val="5"/>
        </w:numPr>
        <w:spacing w:after="0"/>
        <w:ind w:leftChars="0"/>
        <w:rPr>
          <w:rFonts w:ascii="Times New Roman" w:hAnsi="Times New Roman"/>
        </w:rPr>
      </w:pPr>
      <w:r w:rsidRPr="00121B90">
        <w:rPr>
          <w:rFonts w:ascii="Times New Roman" w:hAnsi="Times New Roman"/>
        </w:rPr>
        <w:t>HEADQUARTERS FOR EARTHQUAKE RESEARCH PROMOTION OF JAPAN</w:t>
      </w:r>
      <w:r w:rsidR="00A944D2" w:rsidRPr="00A944D2">
        <w:rPr>
          <w:rFonts w:ascii="Times New Roman" w:hAnsi="Times New Roman"/>
        </w:rPr>
        <w:t>,</w:t>
      </w:r>
      <w:r>
        <w:rPr>
          <w:rFonts w:ascii="Times New Roman" w:hAnsi="Times New Roman"/>
        </w:rPr>
        <w:t xml:space="preserve"> </w:t>
      </w:r>
      <w:r w:rsidR="00A944D2" w:rsidRPr="00A944D2">
        <w:rPr>
          <w:rFonts w:ascii="Times New Roman" w:hAnsi="Times New Roman"/>
        </w:rPr>
        <w:t xml:space="preserve">“National Seismic Hazard Maps for Japan”, </w:t>
      </w:r>
      <w:r w:rsidR="00441598">
        <w:rPr>
          <w:rFonts w:ascii="Times New Roman" w:hAnsi="Times New Roman"/>
        </w:rPr>
        <w:t xml:space="preserve">(2009) </w:t>
      </w:r>
      <w:r w:rsidR="00A944D2" w:rsidRPr="00A944D2">
        <w:rPr>
          <w:rFonts w:ascii="Times New Roman" w:hAnsi="Times New Roman"/>
        </w:rPr>
        <w:t xml:space="preserve">(in Japanese). </w:t>
      </w:r>
    </w:p>
    <w:p w:rsidR="00A944D2" w:rsidRPr="0087375E" w:rsidRDefault="00121B90" w:rsidP="005026D8">
      <w:pPr>
        <w:pStyle w:val="afff"/>
        <w:numPr>
          <w:ilvl w:val="0"/>
          <w:numId w:val="5"/>
        </w:numPr>
        <w:spacing w:after="0"/>
        <w:ind w:leftChars="0"/>
        <w:rPr>
          <w:rFonts w:ascii="Times New Roman" w:hAnsi="Times New Roman"/>
        </w:rPr>
      </w:pPr>
      <w:r>
        <w:rPr>
          <w:rFonts w:ascii="Times New Roman" w:hAnsi="Times New Roman"/>
        </w:rPr>
        <w:t xml:space="preserve">FUJIWARA, </w:t>
      </w:r>
      <w:r w:rsidR="00A944D2" w:rsidRPr="0087375E">
        <w:rPr>
          <w:rFonts w:ascii="Times New Roman" w:hAnsi="Times New Roman"/>
        </w:rPr>
        <w:t>H.</w:t>
      </w:r>
      <w:r>
        <w:rPr>
          <w:rFonts w:ascii="Times New Roman" w:hAnsi="Times New Roman"/>
        </w:rPr>
        <w:t xml:space="preserve">, et al, </w:t>
      </w:r>
      <w:r w:rsidR="00A944D2" w:rsidRPr="0087375E">
        <w:rPr>
          <w:rFonts w:ascii="Times New Roman" w:hAnsi="Times New Roman"/>
        </w:rPr>
        <w:t xml:space="preserve">“Technical reports on national seismic hazard maps for Japan”, Technical Note of the National Research Institute for Earth Science and Disaster Prevention, </w:t>
      </w:r>
      <w:r w:rsidR="00A944D2" w:rsidRPr="00441598">
        <w:rPr>
          <w:rFonts w:ascii="Times New Roman" w:hAnsi="Times New Roman"/>
          <w:b/>
        </w:rPr>
        <w:t>336</w:t>
      </w:r>
      <w:r w:rsidR="00441598">
        <w:rPr>
          <w:rFonts w:ascii="Times New Roman" w:hAnsi="Times New Roman"/>
          <w:b/>
        </w:rPr>
        <w:t xml:space="preserve"> </w:t>
      </w:r>
      <w:r w:rsidR="00441598">
        <w:rPr>
          <w:rFonts w:ascii="Times New Roman" w:hAnsi="Times New Roman"/>
        </w:rPr>
        <w:t>(2</w:t>
      </w:r>
      <w:r w:rsidR="00A944D2" w:rsidRPr="0087375E">
        <w:rPr>
          <w:rFonts w:ascii="Times New Roman" w:hAnsi="Times New Roman"/>
        </w:rPr>
        <w:t>009</w:t>
      </w:r>
      <w:r w:rsidR="00441598">
        <w:rPr>
          <w:rFonts w:ascii="Times New Roman" w:hAnsi="Times New Roman"/>
        </w:rPr>
        <w:t>)</w:t>
      </w:r>
      <w:r w:rsidR="00A944D2" w:rsidRPr="0087375E">
        <w:rPr>
          <w:rFonts w:ascii="Times New Roman" w:hAnsi="Times New Roman"/>
        </w:rPr>
        <w:t xml:space="preserve">. </w:t>
      </w:r>
    </w:p>
    <w:p w:rsidR="00A944D2" w:rsidRDefault="00121B90" w:rsidP="00021A00">
      <w:pPr>
        <w:numPr>
          <w:ilvl w:val="0"/>
          <w:numId w:val="5"/>
        </w:numPr>
        <w:spacing w:after="0"/>
        <w:rPr>
          <w:rFonts w:ascii="Times New Roman" w:hAnsi="Times New Roman"/>
        </w:rPr>
      </w:pPr>
      <w:r>
        <w:rPr>
          <w:rFonts w:ascii="Times New Roman" w:hAnsi="Times New Roman"/>
        </w:rPr>
        <w:t>FUJIWARA</w:t>
      </w:r>
      <w:r w:rsidR="00021A00" w:rsidRPr="00021A00">
        <w:rPr>
          <w:rFonts w:ascii="Times New Roman" w:hAnsi="Times New Roman" w:hint="eastAsia"/>
        </w:rPr>
        <w:t xml:space="preserve">, H., </w:t>
      </w:r>
      <w:r>
        <w:rPr>
          <w:rFonts w:ascii="Times New Roman" w:hAnsi="Times New Roman"/>
        </w:rPr>
        <w:t>et al., “</w:t>
      </w:r>
      <w:r w:rsidR="00021A00" w:rsidRPr="00021A00">
        <w:rPr>
          <w:rFonts w:ascii="Times New Roman" w:hAnsi="Times New Roman" w:hint="eastAsia"/>
        </w:rPr>
        <w:t>Seismic hazard assessment for Japan: Reconsidrations after the 2011 Tohoku earthquake</w:t>
      </w:r>
      <w:r>
        <w:rPr>
          <w:rFonts w:ascii="Times New Roman" w:hAnsi="Times New Roman"/>
        </w:rPr>
        <w:t>”</w:t>
      </w:r>
      <w:r w:rsidR="00021A00" w:rsidRPr="00021A00">
        <w:rPr>
          <w:rFonts w:ascii="Times New Roman" w:hAnsi="Times New Roman" w:hint="eastAsia"/>
        </w:rPr>
        <w:t xml:space="preserve">, Journal of Disaster Research, </w:t>
      </w:r>
      <w:r w:rsidRPr="00121B90">
        <w:rPr>
          <w:rFonts w:ascii="Times New Roman" w:hAnsi="Times New Roman"/>
          <w:b/>
        </w:rPr>
        <w:t>8</w:t>
      </w:r>
      <w:r>
        <w:rPr>
          <w:rFonts w:ascii="Times New Roman" w:hAnsi="Times New Roman"/>
          <w:b/>
        </w:rPr>
        <w:t xml:space="preserve"> </w:t>
      </w:r>
      <w:r>
        <w:rPr>
          <w:rFonts w:ascii="Times New Roman" w:hAnsi="Times New Roman"/>
        </w:rPr>
        <w:t>(2013)</w:t>
      </w:r>
      <w:r w:rsidR="00021A00" w:rsidRPr="00021A00">
        <w:rPr>
          <w:rFonts w:ascii="Times New Roman" w:hAnsi="Times New Roman" w:hint="eastAsia"/>
        </w:rPr>
        <w:t xml:space="preserve"> 848-860.</w:t>
      </w:r>
    </w:p>
    <w:p w:rsidR="00A944D2" w:rsidRDefault="00021A00" w:rsidP="00021A00">
      <w:pPr>
        <w:numPr>
          <w:ilvl w:val="0"/>
          <w:numId w:val="5"/>
        </w:numPr>
        <w:spacing w:after="0"/>
        <w:rPr>
          <w:rFonts w:ascii="Times New Roman" w:hAnsi="Times New Roman"/>
        </w:rPr>
      </w:pPr>
      <w:r w:rsidRPr="00021A00">
        <w:rPr>
          <w:rFonts w:ascii="Times New Roman" w:hAnsi="Times New Roman"/>
        </w:rPr>
        <w:t>HEADQUARTERS FOR EARTHQUAKE RESEARCH PROMOTION OF JAPAN, National Seismic Hazard Maps</w:t>
      </w:r>
      <w:r>
        <w:rPr>
          <w:rFonts w:ascii="Times New Roman" w:hAnsi="Times New Roman"/>
        </w:rPr>
        <w:t xml:space="preserve"> for Japan (2014) (in Japanese).</w:t>
      </w:r>
    </w:p>
    <w:p w:rsidR="00A944D2" w:rsidRPr="00021A00" w:rsidRDefault="00121B90" w:rsidP="00021A00">
      <w:pPr>
        <w:numPr>
          <w:ilvl w:val="0"/>
          <w:numId w:val="5"/>
        </w:numPr>
        <w:spacing w:after="0"/>
        <w:rPr>
          <w:rFonts w:ascii="Times New Roman" w:hAnsi="Times New Roman"/>
        </w:rPr>
      </w:pPr>
      <w:r>
        <w:rPr>
          <w:rFonts w:ascii="Times New Roman" w:hAnsi="Times New Roman"/>
        </w:rPr>
        <w:t>MORIKAWA</w:t>
      </w:r>
      <w:r w:rsidR="00021A00" w:rsidRPr="00021A00">
        <w:rPr>
          <w:rFonts w:ascii="Times New Roman" w:hAnsi="Times New Roman" w:hint="eastAsia"/>
        </w:rPr>
        <w:t>, N.</w:t>
      </w:r>
      <w:r w:rsidR="00021A00" w:rsidRPr="00021A00">
        <w:rPr>
          <w:rFonts w:ascii="Times New Roman" w:hAnsi="Times New Roman" w:hint="eastAsia"/>
        </w:rPr>
        <w:t>，</w:t>
      </w:r>
      <w:r>
        <w:rPr>
          <w:rFonts w:ascii="Times New Roman" w:hAnsi="Times New Roman" w:hint="eastAsia"/>
          <w:lang w:eastAsia="ja-JP"/>
        </w:rPr>
        <w:t>FUJIWARA, H.,</w:t>
      </w:r>
      <w:r>
        <w:rPr>
          <w:rFonts w:ascii="Times New Roman" w:hAnsi="Times New Roman"/>
          <w:lang w:eastAsia="ja-JP"/>
        </w:rPr>
        <w:t xml:space="preserve"> </w:t>
      </w:r>
      <w:r w:rsidR="00021A00" w:rsidRPr="00021A00">
        <w:rPr>
          <w:rFonts w:ascii="Times New Roman" w:hAnsi="Times New Roman" w:hint="eastAsia"/>
        </w:rPr>
        <w:t>Updates of the Seismic Activity Models of Japan: Lessons from the Great Tohoku Earthquake</w:t>
      </w:r>
      <w:r w:rsidR="00021A00" w:rsidRPr="00021A00">
        <w:rPr>
          <w:rFonts w:ascii="Times New Roman" w:hAnsi="Times New Roman" w:hint="eastAsia"/>
        </w:rPr>
        <w:t>，</w:t>
      </w:r>
      <w:r w:rsidR="00021A00" w:rsidRPr="00021A00">
        <w:rPr>
          <w:rFonts w:ascii="Times New Roman" w:hAnsi="Times New Roman" w:hint="eastAsia"/>
        </w:rPr>
        <w:t>Seismological Research Letters</w:t>
      </w:r>
      <w:r w:rsidR="00021A00" w:rsidRPr="00021A00">
        <w:rPr>
          <w:rFonts w:ascii="Times New Roman" w:hAnsi="Times New Roman" w:hint="eastAsia"/>
        </w:rPr>
        <w:t>，</w:t>
      </w:r>
      <w:r w:rsidR="00021A00" w:rsidRPr="00121B90">
        <w:rPr>
          <w:rFonts w:ascii="Times New Roman" w:hAnsi="Times New Roman" w:hint="eastAsia"/>
          <w:b/>
        </w:rPr>
        <w:t>87</w:t>
      </w:r>
      <w:r>
        <w:rPr>
          <w:rFonts w:ascii="Times New Roman" w:hAnsi="Times New Roman"/>
        </w:rPr>
        <w:t xml:space="preserve"> (2016) </w:t>
      </w:r>
      <w:r w:rsidR="00021A00" w:rsidRPr="00021A00">
        <w:rPr>
          <w:rFonts w:ascii="Times New Roman" w:hAnsi="Times New Roman" w:hint="eastAsia"/>
        </w:rPr>
        <w:t>1240-1253</w:t>
      </w:r>
      <w:r>
        <w:rPr>
          <w:rFonts w:ascii="Times New Roman" w:hAnsi="Times New Roman"/>
        </w:rPr>
        <w:t>.</w:t>
      </w:r>
    </w:p>
    <w:p w:rsidR="00A8604F" w:rsidRDefault="00A8604F" w:rsidP="005026D8">
      <w:pPr>
        <w:numPr>
          <w:ilvl w:val="0"/>
          <w:numId w:val="5"/>
        </w:numPr>
        <w:spacing w:after="0"/>
        <w:rPr>
          <w:rFonts w:ascii="Times New Roman" w:hAnsi="Times New Roman"/>
        </w:rPr>
      </w:pPr>
      <w:r>
        <w:rPr>
          <w:rFonts w:ascii="Times New Roman" w:hAnsi="Times New Roman"/>
        </w:rPr>
        <w:t>I</w:t>
      </w:r>
      <w:r w:rsidR="00BE2A2D">
        <w:rPr>
          <w:rFonts w:ascii="Times New Roman" w:hAnsi="Times New Roman"/>
        </w:rPr>
        <w:t>WAKI, A., et al., “Validation of the Recipe for Broadband Ground-Motion Simulations of Japanese Crustal Earthquakes”,</w:t>
      </w:r>
      <w:r>
        <w:rPr>
          <w:rFonts w:ascii="Times New Roman" w:hAnsi="Times New Roman"/>
        </w:rPr>
        <w:t xml:space="preserve"> </w:t>
      </w:r>
      <w:r w:rsidR="00BE2A2D">
        <w:rPr>
          <w:rFonts w:ascii="Times New Roman" w:hAnsi="Times New Roman"/>
        </w:rPr>
        <w:t xml:space="preserve">Bull. Seism. Soc. </w:t>
      </w:r>
      <w:r w:rsidR="00563EA2">
        <w:rPr>
          <w:rFonts w:ascii="Times New Roman" w:hAnsi="Times New Roman"/>
        </w:rPr>
        <w:t xml:space="preserve">Am. </w:t>
      </w:r>
      <w:r w:rsidR="00563EA2" w:rsidRPr="00BA6534">
        <w:rPr>
          <w:rFonts w:ascii="Times New Roman" w:hAnsi="Times New Roman"/>
          <w:b/>
        </w:rPr>
        <w:t>106</w:t>
      </w:r>
      <w:r w:rsidR="00563EA2">
        <w:rPr>
          <w:rFonts w:ascii="Times New Roman" w:hAnsi="Times New Roman"/>
        </w:rPr>
        <w:t xml:space="preserve"> (2016) 2214-2232.</w:t>
      </w:r>
    </w:p>
    <w:p w:rsidR="00A8604F" w:rsidRDefault="00563EA2" w:rsidP="005026D8">
      <w:pPr>
        <w:numPr>
          <w:ilvl w:val="0"/>
          <w:numId w:val="6"/>
        </w:numPr>
        <w:spacing w:after="0"/>
        <w:rPr>
          <w:rFonts w:ascii="Times New Roman" w:hAnsi="Times New Roman"/>
        </w:rPr>
      </w:pPr>
      <w:r>
        <w:rPr>
          <w:rFonts w:ascii="Times New Roman" w:hAnsi="Times New Roman"/>
        </w:rPr>
        <w:t xml:space="preserve">SHIRAHAMA, </w:t>
      </w:r>
      <w:r w:rsidR="00BA6534">
        <w:rPr>
          <w:rFonts w:ascii="Times New Roman" w:hAnsi="Times New Roman"/>
        </w:rPr>
        <w:t>Y</w:t>
      </w:r>
      <w:r>
        <w:rPr>
          <w:rFonts w:ascii="Times New Roman" w:hAnsi="Times New Roman"/>
        </w:rPr>
        <w:t>. et al.,</w:t>
      </w:r>
      <w:r w:rsidR="00A8604F">
        <w:rPr>
          <w:rFonts w:ascii="Times New Roman" w:hAnsi="Times New Roman"/>
        </w:rPr>
        <w:t xml:space="preserve"> “</w:t>
      </w:r>
      <w:r w:rsidR="00BA6534">
        <w:rPr>
          <w:rFonts w:ascii="Times New Roman" w:hAnsi="Times New Roman"/>
        </w:rPr>
        <w:t>Characteristics of the surface ruptures associated with the 2016 Kumamoto earthquake sequence, central Kyushu, Japan</w:t>
      </w:r>
      <w:r w:rsidR="00A8604F">
        <w:rPr>
          <w:rFonts w:ascii="Times New Roman" w:hAnsi="Times New Roman"/>
        </w:rPr>
        <w:t>”, E</w:t>
      </w:r>
      <w:r>
        <w:rPr>
          <w:rFonts w:ascii="Times New Roman" w:hAnsi="Times New Roman"/>
        </w:rPr>
        <w:t>arth</w:t>
      </w:r>
      <w:r w:rsidR="00A8604F">
        <w:rPr>
          <w:rFonts w:ascii="Times New Roman" w:hAnsi="Times New Roman"/>
        </w:rPr>
        <w:t xml:space="preserve"> </w:t>
      </w:r>
      <w:r>
        <w:rPr>
          <w:rFonts w:ascii="Times New Roman" w:hAnsi="Times New Roman"/>
        </w:rPr>
        <w:t>Planets</w:t>
      </w:r>
      <w:r w:rsidR="00A8604F">
        <w:rPr>
          <w:rFonts w:ascii="Times New Roman" w:hAnsi="Times New Roman"/>
        </w:rPr>
        <w:t xml:space="preserve"> </w:t>
      </w:r>
      <w:r w:rsidR="00BA6534">
        <w:rPr>
          <w:rFonts w:ascii="Times New Roman" w:hAnsi="Times New Roman"/>
        </w:rPr>
        <w:t xml:space="preserve">and </w:t>
      </w:r>
      <w:r>
        <w:rPr>
          <w:rFonts w:ascii="Times New Roman" w:hAnsi="Times New Roman"/>
        </w:rPr>
        <w:t>Space</w:t>
      </w:r>
      <w:r w:rsidR="00A8604F">
        <w:rPr>
          <w:rFonts w:ascii="Times New Roman" w:hAnsi="Times New Roman"/>
        </w:rPr>
        <w:t xml:space="preserve"> </w:t>
      </w:r>
      <w:r w:rsidR="00BA6534" w:rsidRPr="00BA6534">
        <w:rPr>
          <w:rFonts w:ascii="Times New Roman" w:hAnsi="Times New Roman"/>
          <w:b/>
        </w:rPr>
        <w:t>68</w:t>
      </w:r>
      <w:r w:rsidR="00BA6534">
        <w:rPr>
          <w:rFonts w:ascii="Times New Roman" w:hAnsi="Times New Roman"/>
        </w:rPr>
        <w:t xml:space="preserve"> </w:t>
      </w:r>
      <w:r w:rsidR="00A8604F">
        <w:rPr>
          <w:rFonts w:ascii="Times New Roman" w:hAnsi="Times New Roman"/>
        </w:rPr>
        <w:t>(</w:t>
      </w:r>
      <w:r>
        <w:rPr>
          <w:rFonts w:ascii="Times New Roman" w:hAnsi="Times New Roman"/>
        </w:rPr>
        <w:t>20</w:t>
      </w:r>
      <w:r w:rsidR="00A8604F">
        <w:rPr>
          <w:rFonts w:ascii="Times New Roman" w:hAnsi="Times New Roman"/>
        </w:rPr>
        <w:t>1</w:t>
      </w:r>
      <w:r>
        <w:rPr>
          <w:rFonts w:ascii="Times New Roman" w:hAnsi="Times New Roman"/>
        </w:rPr>
        <w:t>6</w:t>
      </w:r>
      <w:r w:rsidR="00A8604F">
        <w:rPr>
          <w:rFonts w:ascii="Times New Roman" w:hAnsi="Times New Roman"/>
        </w:rPr>
        <w:t>) 19</w:t>
      </w:r>
      <w:r w:rsidR="00BA6534">
        <w:rPr>
          <w:rFonts w:ascii="Times New Roman" w:hAnsi="Times New Roman"/>
        </w:rPr>
        <w:t>1</w:t>
      </w:r>
      <w:r w:rsidR="00A8604F">
        <w:rPr>
          <w:rFonts w:ascii="Times New Roman" w:hAnsi="Times New Roman"/>
        </w:rPr>
        <w:t>.</w:t>
      </w:r>
    </w:p>
    <w:p w:rsidR="00952AFF" w:rsidRPr="00F17FB8" w:rsidRDefault="00563EA2" w:rsidP="00F17FB8">
      <w:pPr>
        <w:numPr>
          <w:ilvl w:val="0"/>
          <w:numId w:val="7"/>
        </w:numPr>
        <w:spacing w:after="0"/>
        <w:rPr>
          <w:rFonts w:ascii="Times New Roman" w:hAnsi="Times New Roman"/>
        </w:rPr>
      </w:pPr>
      <w:r w:rsidRPr="00F17FB8">
        <w:rPr>
          <w:rFonts w:ascii="Times New Roman" w:hAnsi="Times New Roman"/>
        </w:rPr>
        <w:t>HEADQUARTERS FOR EARTHQUAKE RESEARCH PROMOTION OF JAPAN,</w:t>
      </w:r>
      <w:r w:rsidR="00BE2A2D" w:rsidRPr="00F17FB8">
        <w:rPr>
          <w:rFonts w:ascii="Times New Roman" w:hAnsi="Times New Roman"/>
        </w:rPr>
        <w:t xml:space="preserve"> “</w:t>
      </w:r>
      <w:r w:rsidR="00952AFF" w:rsidRPr="00F17FB8">
        <w:rPr>
          <w:rFonts w:ascii="Times New Roman" w:hAnsi="Times New Roman"/>
        </w:rPr>
        <w:t>Scenario Earthquake Shaking Maps”,</w:t>
      </w:r>
      <w:r w:rsidR="00A8604F" w:rsidRPr="00F17FB8">
        <w:rPr>
          <w:rFonts w:ascii="Times New Roman" w:hAnsi="Times New Roman"/>
        </w:rPr>
        <w:t xml:space="preserve"> </w:t>
      </w:r>
      <w:r w:rsidR="00952AFF" w:rsidRPr="00F17FB8">
        <w:rPr>
          <w:rFonts w:ascii="Times New Roman" w:hAnsi="Times New Roman"/>
        </w:rPr>
        <w:t xml:space="preserve">National Seismic Hazard Maps for Japan </w:t>
      </w:r>
      <w:r w:rsidR="00A8604F" w:rsidRPr="00F17FB8">
        <w:rPr>
          <w:rFonts w:ascii="Times New Roman" w:hAnsi="Times New Roman"/>
        </w:rPr>
        <w:t>(</w:t>
      </w:r>
      <w:r w:rsidR="00952AFF" w:rsidRPr="00F17FB8">
        <w:rPr>
          <w:rFonts w:ascii="Times New Roman" w:hAnsi="Times New Roman"/>
        </w:rPr>
        <w:t>2014</w:t>
      </w:r>
      <w:r w:rsidR="00A8604F" w:rsidRPr="00F17FB8">
        <w:rPr>
          <w:rFonts w:ascii="Times New Roman" w:hAnsi="Times New Roman"/>
        </w:rPr>
        <w:t>)</w:t>
      </w:r>
      <w:r w:rsidR="00952AFF" w:rsidRPr="00F17FB8">
        <w:rPr>
          <w:rFonts w:ascii="Times New Roman" w:hAnsi="Times New Roman"/>
        </w:rPr>
        <w:t xml:space="preserve"> (in Japanese),</w:t>
      </w:r>
      <w:r w:rsidR="00F17FB8">
        <w:rPr>
          <w:rFonts w:ascii="Times New Roman" w:hAnsi="Times New Roman"/>
        </w:rPr>
        <w:t xml:space="preserve"> </w:t>
      </w:r>
      <w:r w:rsidR="00F17FB8" w:rsidRPr="00F17FB8">
        <w:rPr>
          <w:rFonts w:ascii="Times New Roman" w:hAnsi="Times New Roman"/>
        </w:rPr>
        <w:t>http://www.jishin.go.jp/main/chousa/14_yosokuchizu/bessatsu.pdf</w:t>
      </w:r>
      <w:r w:rsidR="00F17FB8">
        <w:rPr>
          <w:rFonts w:ascii="Times New Roman" w:hAnsi="Times New Roman"/>
        </w:rPr>
        <w:t>.</w:t>
      </w:r>
    </w:p>
    <w:p w:rsidR="00290406" w:rsidRDefault="00290406" w:rsidP="00290406">
      <w:pPr>
        <w:numPr>
          <w:ilvl w:val="0"/>
          <w:numId w:val="7"/>
        </w:numPr>
        <w:spacing w:after="0"/>
        <w:rPr>
          <w:rFonts w:ascii="Times New Roman" w:hAnsi="Times New Roman"/>
        </w:rPr>
      </w:pPr>
      <w:r>
        <w:rPr>
          <w:rFonts w:ascii="Times New Roman" w:hAnsi="Times New Roman" w:hint="eastAsia"/>
          <w:lang w:eastAsia="ja-JP"/>
        </w:rPr>
        <w:t>IRIKURA, K.,</w:t>
      </w:r>
      <w:r>
        <w:rPr>
          <w:rFonts w:ascii="Times New Roman" w:hAnsi="Times New Roman"/>
          <w:lang w:eastAsia="ja-JP"/>
        </w:rPr>
        <w:t xml:space="preserve"> MIYAKE, H., “Prediction of strong ground motions for scenario earthquakes, J. Geor. </w:t>
      </w:r>
      <w:r w:rsidRPr="00F71DB9">
        <w:rPr>
          <w:rFonts w:ascii="Times New Roman" w:hAnsi="Times New Roman"/>
          <w:b/>
          <w:lang w:eastAsia="ja-JP"/>
        </w:rPr>
        <w:t>110</w:t>
      </w:r>
      <w:r>
        <w:rPr>
          <w:rFonts w:ascii="Times New Roman" w:hAnsi="Times New Roman"/>
          <w:lang w:eastAsia="ja-JP"/>
        </w:rPr>
        <w:t xml:space="preserve"> (2001) (in Japanese) 849-875.</w:t>
      </w:r>
    </w:p>
    <w:p w:rsidR="00952AFF" w:rsidRDefault="00C5537C" w:rsidP="005026D8">
      <w:pPr>
        <w:numPr>
          <w:ilvl w:val="0"/>
          <w:numId w:val="7"/>
        </w:numPr>
        <w:spacing w:after="0"/>
        <w:rPr>
          <w:rFonts w:ascii="Times New Roman" w:hAnsi="Times New Roman"/>
        </w:rPr>
      </w:pPr>
      <w:r>
        <w:rPr>
          <w:rFonts w:ascii="Times New Roman" w:hAnsi="Times New Roman" w:hint="eastAsia"/>
          <w:lang w:eastAsia="ja-JP"/>
        </w:rPr>
        <w:t xml:space="preserve">ASANO, K., IWATA, T., </w:t>
      </w:r>
      <w:r>
        <w:rPr>
          <w:rFonts w:ascii="Times New Roman" w:hAnsi="Times New Roman"/>
          <w:lang w:eastAsia="ja-JP"/>
        </w:rPr>
        <w:t xml:space="preserve">“Source rupture processes of the foreshock and mainshock in the 2016 Kumamoto earthquake sequence estimated from the kinematic waveform inversion of strong motion data, Earth Planets and Space </w:t>
      </w:r>
      <w:r w:rsidRPr="00C5537C">
        <w:rPr>
          <w:rFonts w:ascii="Times New Roman" w:hAnsi="Times New Roman"/>
          <w:b/>
          <w:lang w:eastAsia="ja-JP"/>
        </w:rPr>
        <w:t>68</w:t>
      </w:r>
      <w:r>
        <w:rPr>
          <w:rFonts w:ascii="Times New Roman" w:hAnsi="Times New Roman"/>
          <w:lang w:eastAsia="ja-JP"/>
        </w:rPr>
        <w:t xml:space="preserve"> (2016) 147.</w:t>
      </w:r>
    </w:p>
    <w:p w:rsidR="00645EB5" w:rsidRPr="00645EB5" w:rsidRDefault="00645EB5" w:rsidP="00645EB5">
      <w:pPr>
        <w:numPr>
          <w:ilvl w:val="0"/>
          <w:numId w:val="8"/>
        </w:numPr>
        <w:spacing w:after="0"/>
        <w:rPr>
          <w:rFonts w:ascii="Times New Roman" w:hAnsi="Times New Roman"/>
        </w:rPr>
      </w:pPr>
      <w:r>
        <w:rPr>
          <w:rFonts w:ascii="Times New Roman" w:hAnsi="Times New Roman"/>
        </w:rPr>
        <w:t xml:space="preserve">FUJII, Y., MATSU’URA, M. “Regional Difference in Scaling Laws for Large Earthquakes and its Tectonic Implication”, PAGEOPH </w:t>
      </w:r>
      <w:r w:rsidRPr="00645EB5">
        <w:rPr>
          <w:rFonts w:ascii="Times New Roman" w:hAnsi="Times New Roman"/>
          <w:b/>
        </w:rPr>
        <w:t>157</w:t>
      </w:r>
      <w:r>
        <w:rPr>
          <w:rFonts w:ascii="Times New Roman" w:hAnsi="Times New Roman"/>
        </w:rPr>
        <w:t xml:space="preserve"> (2000) 2283-2302.</w:t>
      </w:r>
    </w:p>
    <w:p w:rsidR="00A8604F" w:rsidRDefault="00645EB5" w:rsidP="005026D8">
      <w:pPr>
        <w:numPr>
          <w:ilvl w:val="0"/>
          <w:numId w:val="8"/>
        </w:numPr>
        <w:spacing w:after="0"/>
        <w:rPr>
          <w:rFonts w:ascii="Times New Roman" w:hAnsi="Times New Roman"/>
        </w:rPr>
      </w:pPr>
      <w:r>
        <w:rPr>
          <w:rFonts w:ascii="Times New Roman" w:hAnsi="Times New Roman"/>
        </w:rPr>
        <w:t xml:space="preserve">SOMERVILLE, P. G., et al., “Characterizing crustal earthquake slip models for the prediction of strong ground motion”, Seism. Res. Lett. </w:t>
      </w:r>
      <w:r w:rsidRPr="00645EB5">
        <w:rPr>
          <w:rFonts w:ascii="Times New Roman" w:hAnsi="Times New Roman"/>
          <w:b/>
        </w:rPr>
        <w:t>70</w:t>
      </w:r>
      <w:r>
        <w:rPr>
          <w:rFonts w:ascii="Times New Roman" w:hAnsi="Times New Roman"/>
        </w:rPr>
        <w:t xml:space="preserve"> (1999) 59-80.</w:t>
      </w:r>
    </w:p>
    <w:p w:rsidR="00E86D84" w:rsidRDefault="00E86D84" w:rsidP="005026D8">
      <w:pPr>
        <w:numPr>
          <w:ilvl w:val="0"/>
          <w:numId w:val="9"/>
        </w:numPr>
        <w:spacing w:after="0"/>
        <w:rPr>
          <w:rFonts w:ascii="Times New Roman" w:hAnsi="Times New Roman"/>
        </w:rPr>
      </w:pPr>
      <w:r>
        <w:rPr>
          <w:rFonts w:ascii="Times New Roman" w:hAnsi="Times New Roman"/>
        </w:rPr>
        <w:t xml:space="preserve">AOI, S., FUJIWARA, H., “3D finite-difference method using discontinuous grids”, Bull. Seism. Soc. Am., </w:t>
      </w:r>
      <w:r w:rsidRPr="00E86D84">
        <w:rPr>
          <w:rFonts w:ascii="Times New Roman" w:hAnsi="Times New Roman"/>
          <w:b/>
        </w:rPr>
        <w:t>89</w:t>
      </w:r>
      <w:r>
        <w:rPr>
          <w:rFonts w:ascii="Times New Roman" w:hAnsi="Times New Roman"/>
        </w:rPr>
        <w:t xml:space="preserve"> (1999) 918-930.</w:t>
      </w:r>
    </w:p>
    <w:p w:rsidR="00E86D84" w:rsidRDefault="00E86D84" w:rsidP="005026D8">
      <w:pPr>
        <w:numPr>
          <w:ilvl w:val="0"/>
          <w:numId w:val="9"/>
        </w:numPr>
        <w:spacing w:after="0"/>
        <w:rPr>
          <w:rFonts w:ascii="Times New Roman" w:hAnsi="Times New Roman"/>
        </w:rPr>
      </w:pPr>
      <w:r>
        <w:rPr>
          <w:rFonts w:ascii="Times New Roman" w:hAnsi="Times New Roman"/>
        </w:rPr>
        <w:t xml:space="preserve">DAN, K., SATO, T., “Strong-motion prediction by semi-empirical method based on variable-slip rupture model of earthquake fault”, J. Arch. Inst. Japan </w:t>
      </w:r>
      <w:r w:rsidRPr="00645EB5">
        <w:rPr>
          <w:rFonts w:ascii="Times New Roman" w:hAnsi="Times New Roman"/>
          <w:b/>
        </w:rPr>
        <w:t>509</w:t>
      </w:r>
      <w:r>
        <w:rPr>
          <w:rFonts w:ascii="Times New Roman" w:hAnsi="Times New Roman"/>
        </w:rPr>
        <w:t xml:space="preserve"> (1998) (in Japanese) 49-60.</w:t>
      </w:r>
    </w:p>
    <w:p w:rsidR="00E86D84" w:rsidRDefault="00E86D84" w:rsidP="005026D8">
      <w:pPr>
        <w:numPr>
          <w:ilvl w:val="0"/>
          <w:numId w:val="9"/>
        </w:numPr>
        <w:spacing w:after="0"/>
        <w:rPr>
          <w:rFonts w:ascii="Times New Roman" w:hAnsi="Times New Roman"/>
        </w:rPr>
      </w:pPr>
      <w:r>
        <w:rPr>
          <w:rFonts w:ascii="Times New Roman" w:hAnsi="Times New Roman"/>
        </w:rPr>
        <w:t xml:space="preserve">FUJIWARA, H., et al., “A study on subsurface structure model for deep sedimentary layers of Japan for strong-motion evaluation”, Technical Note of the NIED </w:t>
      </w:r>
      <w:r w:rsidRPr="00645EB5">
        <w:rPr>
          <w:rFonts w:ascii="Times New Roman" w:hAnsi="Times New Roman"/>
          <w:b/>
        </w:rPr>
        <w:t>337</w:t>
      </w:r>
      <w:r>
        <w:rPr>
          <w:rFonts w:ascii="Times New Roman" w:hAnsi="Times New Roman"/>
        </w:rPr>
        <w:t xml:space="preserve"> (2009) (in Japanese).</w:t>
      </w:r>
    </w:p>
    <w:p w:rsidR="00645EB5" w:rsidRDefault="00645EB5" w:rsidP="005026D8">
      <w:pPr>
        <w:numPr>
          <w:ilvl w:val="0"/>
          <w:numId w:val="9"/>
        </w:numPr>
        <w:spacing w:after="0"/>
        <w:rPr>
          <w:rFonts w:ascii="Times New Roman" w:hAnsi="Times New Roman"/>
        </w:rPr>
      </w:pPr>
      <w:r>
        <w:rPr>
          <w:rFonts w:ascii="Times New Roman" w:hAnsi="Times New Roman"/>
        </w:rPr>
        <w:t xml:space="preserve">WAKAMATSU, K., MATSUOKA, M., “Nationwide 7.5-arc-second Japan engineering geomorphologic classification map and Vs30 zoning”, J. Disast. Res. </w:t>
      </w:r>
      <w:r w:rsidRPr="00645EB5">
        <w:rPr>
          <w:rFonts w:ascii="Times New Roman" w:hAnsi="Times New Roman"/>
          <w:b/>
        </w:rPr>
        <w:t>8</w:t>
      </w:r>
      <w:r>
        <w:rPr>
          <w:rFonts w:ascii="Times New Roman" w:hAnsi="Times New Roman"/>
        </w:rPr>
        <w:t xml:space="preserve"> (2013) 904-911.</w:t>
      </w:r>
    </w:p>
    <w:p w:rsidR="00645EB5" w:rsidRDefault="00645EB5" w:rsidP="005026D8">
      <w:pPr>
        <w:numPr>
          <w:ilvl w:val="0"/>
          <w:numId w:val="9"/>
        </w:numPr>
        <w:spacing w:after="0"/>
        <w:rPr>
          <w:rFonts w:ascii="Times New Roman" w:hAnsi="Times New Roman"/>
        </w:rPr>
      </w:pPr>
      <w:r>
        <w:rPr>
          <w:rFonts w:ascii="Times New Roman" w:hAnsi="Times New Roman"/>
        </w:rPr>
        <w:t xml:space="preserve">FUJIMOTO, K., MIDORIKAWA, S., “Relationship between average shear-wave velocity and site amplification inferred from strong motion records at nearby station pairs, J. Japan Assoc. Earthq. Eng. </w:t>
      </w:r>
      <w:r w:rsidRPr="00645EB5">
        <w:rPr>
          <w:rFonts w:ascii="Times New Roman" w:hAnsi="Times New Roman"/>
          <w:b/>
        </w:rPr>
        <w:t>6</w:t>
      </w:r>
      <w:r>
        <w:rPr>
          <w:rFonts w:ascii="Times New Roman" w:hAnsi="Times New Roman"/>
        </w:rPr>
        <w:t xml:space="preserve"> (2006) (in Japanese) 11-22.</w:t>
      </w:r>
    </w:p>
    <w:p w:rsidR="009E7003" w:rsidRDefault="009E7003" w:rsidP="005026D8">
      <w:pPr>
        <w:numPr>
          <w:ilvl w:val="0"/>
          <w:numId w:val="9"/>
        </w:numPr>
        <w:spacing w:after="0"/>
        <w:rPr>
          <w:rFonts w:ascii="Times New Roman" w:hAnsi="Times New Roman"/>
        </w:rPr>
      </w:pPr>
      <w:r>
        <w:rPr>
          <w:rFonts w:ascii="Times New Roman" w:hAnsi="Times New Roman"/>
        </w:rPr>
        <w:t xml:space="preserve">MONMA, </w:t>
      </w:r>
      <w:r w:rsidR="004C57A4">
        <w:rPr>
          <w:rFonts w:ascii="Times New Roman" w:hAnsi="Times New Roman"/>
        </w:rPr>
        <w:t xml:space="preserve">N., et al, “Distribution of building damage near the surface deformation associated with the Kumamoto earthquake, JAEE, </w:t>
      </w:r>
      <w:r w:rsidR="00352F22">
        <w:rPr>
          <w:rFonts w:ascii="Times New Roman" w:hAnsi="Times New Roman"/>
        </w:rPr>
        <w:t>proceedings (2016).</w:t>
      </w:r>
    </w:p>
    <w:p w:rsidR="00A8604F" w:rsidRPr="00352F22" w:rsidRDefault="00A8604F" w:rsidP="006F13D1">
      <w:pPr>
        <w:pStyle w:val="Textkrper"/>
        <w:rPr>
          <w:rFonts w:ascii="Times New Roman" w:hAnsi="Times New Roman"/>
          <w:sz w:val="24"/>
        </w:rPr>
      </w:pPr>
    </w:p>
    <w:sectPr w:rsidR="00A8604F" w:rsidRPr="00352F22">
      <w:headerReference w:type="default" r:id="rId14"/>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133" w:rsidRDefault="00C33133">
      <w:r>
        <w:separator/>
      </w:r>
    </w:p>
  </w:endnote>
  <w:endnote w:type="continuationSeparator" w:id="0">
    <w:p w:rsidR="00C33133" w:rsidRDefault="00C33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133" w:rsidRDefault="00C33133">
      <w:r>
        <w:separator/>
      </w:r>
    </w:p>
  </w:footnote>
  <w:footnote w:type="continuationSeparator" w:id="0">
    <w:p w:rsidR="00C33133" w:rsidRDefault="00C33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D84" w:rsidRDefault="00E86D84" w:rsidP="00CD7274">
    <w:pPr>
      <w:pStyle w:val="a9"/>
      <w:spacing w:after="0" w:line="180" w:lineRule="auto"/>
      <w:jc w:val="left"/>
      <w:rPr>
        <w:bCs/>
        <w:sz w:val="20"/>
      </w:rPr>
    </w:pPr>
    <w:r w:rsidRPr="00CD7274">
      <w:rPr>
        <w:noProof/>
        <w:sz w:val="22"/>
        <w:szCs w:val="22"/>
        <w:lang w:val="en-US" w:eastAsia="ja-JP"/>
      </w:rPr>
      <w:drawing>
        <wp:anchor distT="0" distB="0" distL="114300" distR="114300" simplePos="0" relativeHeight="251658240" behindDoc="1" locked="0" layoutInCell="1" allowOverlap="1">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274">
      <w:rPr>
        <w:rStyle w:val="ac"/>
        <w:sz w:val="22"/>
        <w:szCs w:val="22"/>
      </w:rPr>
      <w:fldChar w:fldCharType="begin"/>
    </w:r>
    <w:r w:rsidRPr="00CD7274">
      <w:rPr>
        <w:rStyle w:val="ac"/>
        <w:sz w:val="22"/>
        <w:szCs w:val="22"/>
      </w:rPr>
      <w:instrText xml:space="preserve"> PAGE </w:instrText>
    </w:r>
    <w:r w:rsidRPr="00CD7274">
      <w:rPr>
        <w:rStyle w:val="ac"/>
        <w:sz w:val="22"/>
        <w:szCs w:val="22"/>
      </w:rPr>
      <w:fldChar w:fldCharType="separate"/>
    </w:r>
    <w:r w:rsidR="005F3D51">
      <w:rPr>
        <w:rStyle w:val="ac"/>
        <w:noProof/>
        <w:sz w:val="22"/>
        <w:szCs w:val="22"/>
      </w:rPr>
      <w:t>11</w:t>
    </w:r>
    <w:r w:rsidRPr="00CD7274">
      <w:rPr>
        <w:rStyle w:val="ac"/>
        <w:sz w:val="22"/>
        <w:szCs w:val="22"/>
      </w:rPr>
      <w:fldChar w:fldCharType="end"/>
    </w:r>
    <w:r>
      <w:rPr>
        <w:sz w:val="20"/>
        <w:lang w:val="en-US"/>
      </w:rPr>
      <w:t xml:space="preserve">  </w:t>
    </w:r>
    <w:r w:rsidRPr="00B77918">
      <w:rPr>
        <w:b/>
        <w:bCs/>
        <w:sz w:val="20"/>
      </w:rPr>
      <w:t xml:space="preserve">Best </w:t>
    </w:r>
    <w:r w:rsidRPr="00B77918">
      <w:rPr>
        <w:bCs/>
        <w:sz w:val="20"/>
      </w:rPr>
      <w:t>Practices in</w:t>
    </w:r>
    <w:r w:rsidRPr="00B77918">
      <w:rPr>
        <w:b/>
        <w:bCs/>
        <w:sz w:val="20"/>
      </w:rPr>
      <w:t xml:space="preserve"> P</w:t>
    </w:r>
    <w:r w:rsidRPr="00B77918">
      <w:rPr>
        <w:bCs/>
        <w:sz w:val="20"/>
      </w:rPr>
      <w:t>hysics-based Fault Rupture Models for</w:t>
    </w:r>
    <w:r>
      <w:rPr>
        <w:sz w:val="20"/>
        <w:lang w:val="en-US"/>
      </w:rPr>
      <w:t xml:space="preserve"> </w:t>
    </w:r>
    <w:r w:rsidRPr="00B77918">
      <w:rPr>
        <w:b/>
        <w:bCs/>
        <w:sz w:val="20"/>
      </w:rPr>
      <w:t>S</w:t>
    </w:r>
    <w:r w:rsidRPr="00B77918">
      <w:rPr>
        <w:bCs/>
        <w:sz w:val="20"/>
      </w:rPr>
      <w:t>eismic</w:t>
    </w:r>
    <w:r w:rsidRPr="00B77918">
      <w:rPr>
        <w:b/>
        <w:bCs/>
        <w:sz w:val="20"/>
      </w:rPr>
      <w:t xml:space="preserve"> H</w:t>
    </w:r>
    <w:r w:rsidRPr="00B77918">
      <w:rPr>
        <w:bCs/>
        <w:sz w:val="20"/>
      </w:rPr>
      <w:t>azard</w:t>
    </w:r>
    <w:r w:rsidRPr="00B77918">
      <w:rPr>
        <w:b/>
        <w:bCs/>
        <w:sz w:val="20"/>
      </w:rPr>
      <w:t xml:space="preserve"> A</w:t>
    </w:r>
    <w:r w:rsidRPr="00B77918">
      <w:rPr>
        <w:bCs/>
        <w:sz w:val="20"/>
      </w:rPr>
      <w:t>ssessment of</w:t>
    </w:r>
    <w:r w:rsidRPr="00B77918">
      <w:rPr>
        <w:b/>
        <w:bCs/>
        <w:sz w:val="20"/>
      </w:rPr>
      <w:t xml:space="preserve"> N</w:t>
    </w:r>
    <w:r w:rsidRPr="00B77918">
      <w:rPr>
        <w:bCs/>
        <w:sz w:val="20"/>
      </w:rPr>
      <w:t>uclear</w:t>
    </w:r>
  </w:p>
  <w:p w:rsidR="00E86D84" w:rsidRDefault="00E86D84" w:rsidP="000E236F">
    <w:pPr>
      <w:pStyle w:val="a9"/>
      <w:spacing w:after="0" w:line="180" w:lineRule="auto"/>
      <w:jc w:val="left"/>
      <w:rPr>
        <w:bCs/>
        <w:sz w:val="20"/>
        <w:lang w:val="en-US"/>
      </w:rPr>
    </w:pPr>
    <w:r>
      <w:rPr>
        <w:bCs/>
        <w:sz w:val="20"/>
      </w:rPr>
      <w:t xml:space="preserve">   </w:t>
    </w:r>
    <w:r w:rsidRPr="00B77918">
      <w:rPr>
        <w:b/>
        <w:bCs/>
        <w:sz w:val="20"/>
      </w:rPr>
      <w:t>I</w:t>
    </w:r>
    <w:r w:rsidRPr="00B77918">
      <w:rPr>
        <w:bCs/>
        <w:sz w:val="20"/>
      </w:rPr>
      <w:t>nstallations:</w:t>
    </w:r>
    <w:r w:rsidRPr="00B77918">
      <w:rPr>
        <w:bCs/>
        <w:sz w:val="20"/>
        <w:lang w:val="en-US"/>
      </w:rPr>
      <w:t xml:space="preserve"> issues and challenges towards full Seismic Risk Analysis</w:t>
    </w:r>
  </w:p>
  <w:p w:rsidR="00E86D84" w:rsidRDefault="00E86D84" w:rsidP="000E236F">
    <w:pPr>
      <w:pStyle w:val="a9"/>
      <w:spacing w:after="0" w:line="180" w:lineRule="auto"/>
      <w:jc w:val="left"/>
      <w:rPr>
        <w:sz w:val="20"/>
      </w:rPr>
    </w:pPr>
  </w:p>
  <w:p w:rsidR="00E86D84" w:rsidRPr="000E236F" w:rsidRDefault="00E86D84" w:rsidP="000E236F">
    <w:pPr>
      <w:pStyle w:val="a9"/>
      <w:spacing w:after="0" w:line="180" w:lineRule="auto"/>
      <w:jc w:val="left"/>
      <w:rPr>
        <w:sz w:val="18"/>
        <w:szCs w:val="18"/>
        <w:lang w:val="en-US"/>
      </w:rPr>
    </w:pPr>
    <w:r>
      <w:rPr>
        <w:sz w:val="20"/>
        <w:lang w:val="en-US"/>
      </w:rPr>
      <w:t xml:space="preserve">   </w:t>
    </w:r>
    <w:r w:rsidRPr="000E236F">
      <w:rPr>
        <w:sz w:val="18"/>
        <w:szCs w:val="18"/>
        <w:lang w:val="en-US"/>
      </w:rPr>
      <w:t xml:space="preserve">Cadarache-Château, </w:t>
    </w:r>
    <w:r w:rsidRPr="000E236F">
      <w:rPr>
        <w:bCs/>
        <w:sz w:val="18"/>
        <w:szCs w:val="18"/>
        <w:lang w:val="en-US" w:eastAsia="en-GB"/>
      </w:rPr>
      <w:t>France</w:t>
    </w:r>
    <w:r w:rsidRPr="000E236F">
      <w:rPr>
        <w:bCs/>
        <w:sz w:val="18"/>
        <w:szCs w:val="18"/>
        <w:lang w:val="en-US"/>
      </w:rPr>
      <w:t>, 14-16 May 2018</w:t>
    </w:r>
  </w:p>
  <w:p w:rsidR="00E86D84" w:rsidRPr="000E236F" w:rsidRDefault="00E86D84" w:rsidP="00F106AC">
    <w:pPr>
      <w:pStyle w:val="a9"/>
      <w:spacing w:after="0" w:line="168" w:lineRule="auto"/>
      <w:jc w:val="left"/>
      <w:rPr>
        <w:bCs/>
        <w:sz w:val="20"/>
      </w:rPr>
    </w:pPr>
    <w:r w:rsidRPr="000E236F">
      <w:rPr>
        <w:noProof/>
        <w:sz w:val="20"/>
        <w:lang w:val="en-US" w:eastAsia="ja-JP"/>
      </w:rPr>
      <mc:AlternateContent>
        <mc:Choice Requires="wps">
          <w:drawing>
            <wp:anchor distT="4294967295" distB="4294967295" distL="114300" distR="114300" simplePos="0" relativeHeight="251657216" behindDoc="0" locked="0" layoutInCell="1" allowOverlap="1">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94E3D7"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442562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AD8C30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EC82A6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A4D61D9A"/>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6DA8374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6E1A5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32C8B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8EB2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5A496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C502EC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1B6AD5A"/>
    <w:lvl w:ilvl="0">
      <w:numFmt w:val="decimal"/>
      <w:lvlText w:val="*"/>
      <w:lvlJc w:val="left"/>
    </w:lvl>
  </w:abstractNum>
  <w:abstractNum w:abstractNumId="11" w15:restartNumberingAfterBreak="0">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0501B5"/>
    <w:multiLevelType w:val="singleLevel"/>
    <w:tmpl w:val="6374CE9A"/>
    <w:lvl w:ilvl="0">
      <w:start w:val="1"/>
      <w:numFmt w:val="decimal"/>
      <w:lvlText w:val="[%1]"/>
      <w:legacy w:legacy="1" w:legacySpace="0" w:legacyIndent="567"/>
      <w:lvlJc w:val="left"/>
      <w:pPr>
        <w:ind w:left="567" w:hanging="567"/>
      </w:pPr>
    </w:lvl>
  </w:abstractNum>
  <w:abstractNum w:abstractNumId="13" w15:restartNumberingAfterBreak="0">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DFE3EDB"/>
    <w:multiLevelType w:val="singleLevel"/>
    <w:tmpl w:val="BCE66AEC"/>
    <w:lvl w:ilvl="0">
      <w:start w:val="1"/>
      <w:numFmt w:val="decimal"/>
      <w:lvlText w:val="%1."/>
      <w:legacy w:legacy="1" w:legacySpace="0" w:legacyIndent="284"/>
      <w:lvlJc w:val="left"/>
      <w:pPr>
        <w:ind w:left="284" w:hanging="284"/>
      </w:pPr>
    </w:lvl>
  </w:abstractNum>
  <w:abstractNum w:abstractNumId="16" w15:restartNumberingAfterBreak="0">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653BC8"/>
    <w:multiLevelType w:val="hybridMultilevel"/>
    <w:tmpl w:val="3F284916"/>
    <w:lvl w:ilvl="0" w:tplc="83B08F88">
      <w:start w:val="1"/>
      <w:numFmt w:val="decimal"/>
      <w:pStyle w:val="31"/>
      <w:lvlText w:val="%1."/>
      <w:lvlJc w:val="left"/>
      <w:pPr>
        <w:ind w:left="2061" w:hanging="360"/>
      </w:p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0" w15:restartNumberingAfterBreak="0">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1" w15:restartNumberingAfterBreak="0">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C367363"/>
    <w:multiLevelType w:val="singleLevel"/>
    <w:tmpl w:val="BCE66AEC"/>
    <w:lvl w:ilvl="0">
      <w:start w:val="1"/>
      <w:numFmt w:val="decimal"/>
      <w:lvlText w:val="%1."/>
      <w:legacy w:legacy="1" w:legacySpace="0" w:legacyIndent="284"/>
      <w:lvlJc w:val="left"/>
      <w:pPr>
        <w:ind w:left="564" w:hanging="284"/>
      </w:pPr>
    </w:lvl>
  </w:abstractNum>
  <w:abstractNum w:abstractNumId="23" w15:restartNumberingAfterBreak="0">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2"/>
  </w:num>
  <w:num w:numId="3">
    <w:abstractNumId w:val="15"/>
  </w:num>
  <w:num w:numId="4">
    <w:abstractNumId w:val="23"/>
  </w:num>
  <w:num w:numId="5">
    <w:abstractNumId w:val="12"/>
  </w:num>
  <w:num w:numId="6">
    <w:abstractNumId w:val="12"/>
    <w:lvlOverride w:ilvl="0">
      <w:lvl w:ilvl="0">
        <w:start w:val="3"/>
        <w:numFmt w:val="decimal"/>
        <w:lvlText w:val="[%1]"/>
        <w:legacy w:legacy="1" w:legacySpace="0" w:legacyIndent="567"/>
        <w:lvlJc w:val="left"/>
        <w:pPr>
          <w:ind w:left="567" w:hanging="567"/>
        </w:pPr>
      </w:lvl>
    </w:lvlOverride>
  </w:num>
  <w:num w:numId="7">
    <w:abstractNumId w:val="12"/>
    <w:lvlOverride w:ilvl="0">
      <w:lvl w:ilvl="0">
        <w:start w:val="4"/>
        <w:numFmt w:val="decimal"/>
        <w:lvlText w:val="[%1]"/>
        <w:legacy w:legacy="1" w:legacySpace="0" w:legacyIndent="567"/>
        <w:lvlJc w:val="left"/>
        <w:pPr>
          <w:ind w:left="567" w:hanging="567"/>
        </w:pPr>
      </w:lvl>
    </w:lvlOverride>
  </w:num>
  <w:num w:numId="8">
    <w:abstractNumId w:val="12"/>
    <w:lvlOverride w:ilvl="0">
      <w:lvl w:ilvl="0">
        <w:start w:val="5"/>
        <w:numFmt w:val="decimal"/>
        <w:lvlText w:val="[%1]"/>
        <w:legacy w:legacy="1" w:legacySpace="0" w:legacyIndent="567"/>
        <w:lvlJc w:val="left"/>
        <w:pPr>
          <w:ind w:left="567" w:hanging="567"/>
        </w:pPr>
      </w:lvl>
    </w:lvlOverride>
  </w:num>
  <w:num w:numId="9">
    <w:abstractNumId w:val="12"/>
    <w:lvlOverride w:ilvl="0">
      <w:lvl w:ilvl="0">
        <w:start w:val="6"/>
        <w:numFmt w:val="decimal"/>
        <w:lvlText w:val="[%1]"/>
        <w:legacy w:legacy="1" w:legacySpace="0" w:legacyIndent="567"/>
        <w:lvlJc w:val="left"/>
        <w:pPr>
          <w:ind w:left="567" w:hanging="567"/>
        </w:pPr>
      </w:lvl>
    </w:lvlOverride>
  </w:num>
  <w:num w:numId="10">
    <w:abstractNumId w:val="12"/>
    <w:lvlOverride w:ilvl="0">
      <w:lvl w:ilvl="0">
        <w:start w:val="7"/>
        <w:numFmt w:val="decimal"/>
        <w:lvlText w:val="[%1]"/>
        <w:legacy w:legacy="1" w:legacySpace="0" w:legacyIndent="567"/>
        <w:lvlJc w:val="left"/>
        <w:pPr>
          <w:ind w:left="567" w:hanging="567"/>
        </w:pPr>
      </w:lvl>
    </w:lvlOverride>
  </w:num>
  <w:num w:numId="11">
    <w:abstractNumId w:val="12"/>
    <w:lvlOverride w:ilvl="0">
      <w:lvl w:ilvl="0">
        <w:start w:val="8"/>
        <w:numFmt w:val="decimal"/>
        <w:lvlText w:val="[%1]"/>
        <w:legacy w:legacy="1" w:legacySpace="0" w:legacyIndent="567"/>
        <w:lvlJc w:val="left"/>
        <w:pPr>
          <w:ind w:left="567" w:hanging="567"/>
        </w:pPr>
      </w:lvl>
    </w:lvlOverride>
  </w:num>
  <w:num w:numId="12">
    <w:abstractNumId w:val="12"/>
    <w:lvlOverride w:ilvl="0">
      <w:lvl w:ilvl="0">
        <w:start w:val="9"/>
        <w:numFmt w:val="decimal"/>
        <w:lvlText w:val="[%1]"/>
        <w:legacy w:legacy="1" w:legacySpace="0" w:legacyIndent="567"/>
        <w:lvlJc w:val="left"/>
        <w:pPr>
          <w:ind w:left="567" w:hanging="567"/>
        </w:pPr>
      </w:lvl>
    </w:lvlOverride>
  </w:num>
  <w:num w:numId="13">
    <w:abstractNumId w:val="12"/>
    <w:lvlOverride w:ilvl="0">
      <w:lvl w:ilvl="0">
        <w:start w:val="10"/>
        <w:numFmt w:val="decimal"/>
        <w:lvlText w:val="[%1]"/>
        <w:legacy w:legacy="1" w:legacySpace="0" w:legacyIndent="567"/>
        <w:lvlJc w:val="left"/>
        <w:pPr>
          <w:ind w:left="567" w:hanging="567"/>
        </w:pPr>
      </w:lvl>
    </w:lvlOverride>
  </w:num>
  <w:num w:numId="14">
    <w:abstractNumId w:val="12"/>
    <w:lvlOverride w:ilvl="0">
      <w:lvl w:ilvl="0">
        <w:start w:val="11"/>
        <w:numFmt w:val="decimal"/>
        <w:lvlText w:val="[%1]"/>
        <w:legacy w:legacy="1" w:legacySpace="0" w:legacyIndent="567"/>
        <w:lvlJc w:val="left"/>
        <w:pPr>
          <w:ind w:left="567" w:hanging="567"/>
        </w:pPr>
      </w:lvl>
    </w:lvlOverride>
  </w:num>
  <w:num w:numId="15">
    <w:abstractNumId w:val="12"/>
    <w:lvlOverride w:ilvl="0">
      <w:lvl w:ilvl="0">
        <w:start w:val="12"/>
        <w:numFmt w:val="decimal"/>
        <w:lvlText w:val="[%1]"/>
        <w:legacy w:legacy="1" w:legacySpace="0" w:legacyIndent="567"/>
        <w:lvlJc w:val="left"/>
        <w:pPr>
          <w:ind w:left="567" w:hanging="567"/>
        </w:pPr>
      </w:lvl>
    </w:lvlOverride>
  </w:num>
  <w:num w:numId="16">
    <w:abstractNumId w:val="12"/>
    <w:lvlOverride w:ilvl="0">
      <w:lvl w:ilvl="0">
        <w:start w:val="13"/>
        <w:numFmt w:val="decimal"/>
        <w:lvlText w:val="[%1]"/>
        <w:legacy w:legacy="1" w:legacySpace="0" w:legacyIndent="567"/>
        <w:lvlJc w:val="left"/>
        <w:pPr>
          <w:ind w:left="567" w:hanging="567"/>
        </w:pPr>
      </w:lvl>
    </w:lvlOverride>
  </w:num>
  <w:num w:numId="17">
    <w:abstractNumId w:val="12"/>
    <w:lvlOverride w:ilvl="0">
      <w:lvl w:ilvl="0">
        <w:start w:val="14"/>
        <w:numFmt w:val="decimal"/>
        <w:lvlText w:val="[%1]"/>
        <w:legacy w:legacy="1" w:legacySpace="0" w:legacyIndent="567"/>
        <w:lvlJc w:val="left"/>
        <w:pPr>
          <w:ind w:left="567" w:hanging="567"/>
        </w:pPr>
      </w:lvl>
    </w:lvlOverride>
  </w:num>
  <w:num w:numId="18">
    <w:abstractNumId w:val="12"/>
    <w:lvlOverride w:ilvl="0">
      <w:lvl w:ilvl="0">
        <w:start w:val="15"/>
        <w:numFmt w:val="decimal"/>
        <w:lvlText w:val="[%1]"/>
        <w:legacy w:legacy="1" w:legacySpace="0" w:legacyIndent="567"/>
        <w:lvlJc w:val="left"/>
        <w:pPr>
          <w:ind w:left="567" w:hanging="567"/>
        </w:pPr>
      </w:lvl>
    </w:lvlOverride>
  </w:num>
  <w:num w:numId="19">
    <w:abstractNumId w:val="12"/>
    <w:lvlOverride w:ilvl="0">
      <w:lvl w:ilvl="0">
        <w:start w:val="16"/>
        <w:numFmt w:val="decimal"/>
        <w:lvlText w:val="[%1]"/>
        <w:legacy w:legacy="1" w:legacySpace="0" w:legacyIndent="567"/>
        <w:lvlJc w:val="left"/>
        <w:pPr>
          <w:ind w:left="567" w:hanging="567"/>
        </w:pPr>
      </w:lvl>
    </w:lvlOverride>
  </w:num>
  <w:num w:numId="20">
    <w:abstractNumId w:val="12"/>
    <w:lvlOverride w:ilvl="0">
      <w:lvl w:ilvl="0">
        <w:start w:val="17"/>
        <w:numFmt w:val="decimal"/>
        <w:lvlText w:val="[%1]"/>
        <w:legacy w:legacy="1" w:legacySpace="0" w:legacyIndent="567"/>
        <w:lvlJc w:val="left"/>
        <w:pPr>
          <w:ind w:left="567" w:hanging="567"/>
        </w:pPr>
      </w:lvl>
    </w:lvlOverride>
  </w:num>
  <w:num w:numId="21">
    <w:abstractNumId w:val="12"/>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1"/>
  </w:num>
  <w:num w:numId="24">
    <w:abstractNumId w:val="21"/>
  </w:num>
  <w:num w:numId="25">
    <w:abstractNumId w:val="17"/>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0"/>
  </w:num>
  <w:num w:numId="38">
    <w:abstractNumId w:val="19"/>
  </w:num>
  <w:num w:numId="39">
    <w:abstractNumId w:val="16"/>
  </w:num>
  <w:num w:numId="40">
    <w:abstractNumId w:val="16"/>
    <w:lvlOverride w:ilvl="0">
      <w:startOverride w:val="1"/>
    </w:lvlOverride>
  </w:num>
  <w:num w:numId="41">
    <w:abstractNumId w:val="14"/>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0D"/>
    <w:rsid w:val="000102C7"/>
    <w:rsid w:val="000135C6"/>
    <w:rsid w:val="00014B1A"/>
    <w:rsid w:val="00021A00"/>
    <w:rsid w:val="00043E25"/>
    <w:rsid w:val="0005673F"/>
    <w:rsid w:val="000B1D39"/>
    <w:rsid w:val="000C258D"/>
    <w:rsid w:val="000D6461"/>
    <w:rsid w:val="000E236F"/>
    <w:rsid w:val="000E7F3D"/>
    <w:rsid w:val="000F1E31"/>
    <w:rsid w:val="000F3E4D"/>
    <w:rsid w:val="001067D0"/>
    <w:rsid w:val="00111D7B"/>
    <w:rsid w:val="00121B90"/>
    <w:rsid w:val="00163949"/>
    <w:rsid w:val="00184A74"/>
    <w:rsid w:val="001A6B91"/>
    <w:rsid w:val="001A6DA6"/>
    <w:rsid w:val="001B5BA9"/>
    <w:rsid w:val="001C2A62"/>
    <w:rsid w:val="001C7767"/>
    <w:rsid w:val="001D3A86"/>
    <w:rsid w:val="001D7282"/>
    <w:rsid w:val="001E0A0D"/>
    <w:rsid w:val="001E419A"/>
    <w:rsid w:val="001F05D4"/>
    <w:rsid w:val="001F344A"/>
    <w:rsid w:val="001F6DAF"/>
    <w:rsid w:val="002014B7"/>
    <w:rsid w:val="00232BA9"/>
    <w:rsid w:val="00240FF1"/>
    <w:rsid w:val="00243433"/>
    <w:rsid w:val="00261F5E"/>
    <w:rsid w:val="0028244B"/>
    <w:rsid w:val="00290406"/>
    <w:rsid w:val="002C6554"/>
    <w:rsid w:val="002C68F5"/>
    <w:rsid w:val="002D4C83"/>
    <w:rsid w:val="002D65A7"/>
    <w:rsid w:val="002F6D57"/>
    <w:rsid w:val="00301983"/>
    <w:rsid w:val="00351194"/>
    <w:rsid w:val="00351F9F"/>
    <w:rsid w:val="00352A0E"/>
    <w:rsid w:val="00352F22"/>
    <w:rsid w:val="00373601"/>
    <w:rsid w:val="00381AF7"/>
    <w:rsid w:val="003A7982"/>
    <w:rsid w:val="003B0D5C"/>
    <w:rsid w:val="003C3F7B"/>
    <w:rsid w:val="003C49C3"/>
    <w:rsid w:val="003C5FC9"/>
    <w:rsid w:val="003C6C91"/>
    <w:rsid w:val="003E7F23"/>
    <w:rsid w:val="00407B35"/>
    <w:rsid w:val="00414D77"/>
    <w:rsid w:val="00433837"/>
    <w:rsid w:val="00433FAC"/>
    <w:rsid w:val="0044004D"/>
    <w:rsid w:val="00441598"/>
    <w:rsid w:val="004445B4"/>
    <w:rsid w:val="00450C8E"/>
    <w:rsid w:val="004812AD"/>
    <w:rsid w:val="00484058"/>
    <w:rsid w:val="00487E6D"/>
    <w:rsid w:val="004954E1"/>
    <w:rsid w:val="00495F51"/>
    <w:rsid w:val="004C0705"/>
    <w:rsid w:val="004C3FC9"/>
    <w:rsid w:val="004C57A4"/>
    <w:rsid w:val="004D365F"/>
    <w:rsid w:val="004F71CF"/>
    <w:rsid w:val="005026D8"/>
    <w:rsid w:val="00514B59"/>
    <w:rsid w:val="005241D4"/>
    <w:rsid w:val="00563EA2"/>
    <w:rsid w:val="0057172E"/>
    <w:rsid w:val="00574741"/>
    <w:rsid w:val="00577611"/>
    <w:rsid w:val="005872DE"/>
    <w:rsid w:val="00592381"/>
    <w:rsid w:val="0059443D"/>
    <w:rsid w:val="0059623F"/>
    <w:rsid w:val="005C0798"/>
    <w:rsid w:val="005C5ACC"/>
    <w:rsid w:val="005E7A81"/>
    <w:rsid w:val="005F3D51"/>
    <w:rsid w:val="006071BC"/>
    <w:rsid w:val="00626E86"/>
    <w:rsid w:val="006456E4"/>
    <w:rsid w:val="00645EB5"/>
    <w:rsid w:val="00655FB6"/>
    <w:rsid w:val="00660F2B"/>
    <w:rsid w:val="0066317D"/>
    <w:rsid w:val="006645D6"/>
    <w:rsid w:val="00680AF3"/>
    <w:rsid w:val="00685CEF"/>
    <w:rsid w:val="00686A63"/>
    <w:rsid w:val="006A7954"/>
    <w:rsid w:val="006B2376"/>
    <w:rsid w:val="006B5EA5"/>
    <w:rsid w:val="006B75BC"/>
    <w:rsid w:val="006C3897"/>
    <w:rsid w:val="006D03FF"/>
    <w:rsid w:val="006E2457"/>
    <w:rsid w:val="006E74AC"/>
    <w:rsid w:val="006F13D1"/>
    <w:rsid w:val="006F7986"/>
    <w:rsid w:val="00730AD7"/>
    <w:rsid w:val="00733FE4"/>
    <w:rsid w:val="00766791"/>
    <w:rsid w:val="007A04B5"/>
    <w:rsid w:val="007C09EE"/>
    <w:rsid w:val="007E72EE"/>
    <w:rsid w:val="00800FD1"/>
    <w:rsid w:val="00802734"/>
    <w:rsid w:val="00812B3F"/>
    <w:rsid w:val="0082490B"/>
    <w:rsid w:val="008511E2"/>
    <w:rsid w:val="00867079"/>
    <w:rsid w:val="0086757A"/>
    <w:rsid w:val="0087375E"/>
    <w:rsid w:val="00877AB6"/>
    <w:rsid w:val="00891914"/>
    <w:rsid w:val="008955CD"/>
    <w:rsid w:val="008B4074"/>
    <w:rsid w:val="008E08B0"/>
    <w:rsid w:val="00931C0C"/>
    <w:rsid w:val="009366C0"/>
    <w:rsid w:val="00950D20"/>
    <w:rsid w:val="00952AFF"/>
    <w:rsid w:val="00953A70"/>
    <w:rsid w:val="00991503"/>
    <w:rsid w:val="009B28B7"/>
    <w:rsid w:val="009C19D3"/>
    <w:rsid w:val="009D33B9"/>
    <w:rsid w:val="009D7FF4"/>
    <w:rsid w:val="009E1F76"/>
    <w:rsid w:val="009E6821"/>
    <w:rsid w:val="009E7003"/>
    <w:rsid w:val="009F31A8"/>
    <w:rsid w:val="009F6A57"/>
    <w:rsid w:val="00A25092"/>
    <w:rsid w:val="00A67EEC"/>
    <w:rsid w:val="00A77388"/>
    <w:rsid w:val="00A81016"/>
    <w:rsid w:val="00A8265F"/>
    <w:rsid w:val="00A8604F"/>
    <w:rsid w:val="00A944D2"/>
    <w:rsid w:val="00AB4D31"/>
    <w:rsid w:val="00AC3706"/>
    <w:rsid w:val="00AD6865"/>
    <w:rsid w:val="00AE70CE"/>
    <w:rsid w:val="00B208AB"/>
    <w:rsid w:val="00B421D8"/>
    <w:rsid w:val="00B55910"/>
    <w:rsid w:val="00B61945"/>
    <w:rsid w:val="00B71252"/>
    <w:rsid w:val="00B74868"/>
    <w:rsid w:val="00B77918"/>
    <w:rsid w:val="00B8107F"/>
    <w:rsid w:val="00BA6534"/>
    <w:rsid w:val="00BC1080"/>
    <w:rsid w:val="00BD0581"/>
    <w:rsid w:val="00BD10FB"/>
    <w:rsid w:val="00BE2A2D"/>
    <w:rsid w:val="00C2113E"/>
    <w:rsid w:val="00C21B50"/>
    <w:rsid w:val="00C22FC3"/>
    <w:rsid w:val="00C33133"/>
    <w:rsid w:val="00C47455"/>
    <w:rsid w:val="00C5537C"/>
    <w:rsid w:val="00C73BBC"/>
    <w:rsid w:val="00C82700"/>
    <w:rsid w:val="00CB18AB"/>
    <w:rsid w:val="00CB3E10"/>
    <w:rsid w:val="00CD7274"/>
    <w:rsid w:val="00CD7E87"/>
    <w:rsid w:val="00CE63BF"/>
    <w:rsid w:val="00D11FA3"/>
    <w:rsid w:val="00D50C24"/>
    <w:rsid w:val="00D7137F"/>
    <w:rsid w:val="00D741FA"/>
    <w:rsid w:val="00D838DB"/>
    <w:rsid w:val="00DA71C8"/>
    <w:rsid w:val="00DC2732"/>
    <w:rsid w:val="00DD6795"/>
    <w:rsid w:val="00DF14FD"/>
    <w:rsid w:val="00E10B0A"/>
    <w:rsid w:val="00E35AFC"/>
    <w:rsid w:val="00E50864"/>
    <w:rsid w:val="00E54589"/>
    <w:rsid w:val="00E57E7D"/>
    <w:rsid w:val="00E674FD"/>
    <w:rsid w:val="00E86D84"/>
    <w:rsid w:val="00EA4C56"/>
    <w:rsid w:val="00EB0B35"/>
    <w:rsid w:val="00EB74FD"/>
    <w:rsid w:val="00EC6E00"/>
    <w:rsid w:val="00EE1268"/>
    <w:rsid w:val="00EF037A"/>
    <w:rsid w:val="00F106AC"/>
    <w:rsid w:val="00F17FB8"/>
    <w:rsid w:val="00F31438"/>
    <w:rsid w:val="00F31F0A"/>
    <w:rsid w:val="00F35374"/>
    <w:rsid w:val="00F40824"/>
    <w:rsid w:val="00F532EC"/>
    <w:rsid w:val="00F71DB9"/>
    <w:rsid w:val="00FA5DB5"/>
    <w:rsid w:val="00FC2597"/>
    <w:rsid w:val="00FD62F9"/>
    <w:rsid w:val="00FD746F"/>
    <w:rsid w:val="00FE300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81FFD461-491B-4D89-8324-43D3C53E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1">
    <w:name w:val="heading 1"/>
    <w:basedOn w:val="a1"/>
    <w:next w:val="a1"/>
    <w:qFormat/>
    <w:pPr>
      <w:keepNext/>
      <w:spacing w:before="240" w:after="60"/>
      <w:outlineLvl w:val="0"/>
    </w:pPr>
    <w:rPr>
      <w:rFonts w:ascii="Arial" w:hAnsi="Arial" w:cs="Arial"/>
      <w:b/>
      <w:bCs/>
      <w:kern w:val="32"/>
      <w:sz w:val="32"/>
      <w:szCs w:val="32"/>
    </w:rPr>
  </w:style>
  <w:style w:type="paragraph" w:styleId="21">
    <w:name w:val="heading 2"/>
    <w:basedOn w:val="a1"/>
    <w:next w:val="a1"/>
    <w:qFormat/>
    <w:pPr>
      <w:keepNext/>
      <w:spacing w:before="240" w:after="60"/>
      <w:outlineLvl w:val="1"/>
    </w:pPr>
    <w:rPr>
      <w:rFonts w:ascii="Arial" w:hAnsi="Arial" w:cs="Arial"/>
      <w:b/>
      <w:bCs/>
      <w:i/>
      <w:iCs/>
      <w:sz w:val="28"/>
      <w:szCs w:val="28"/>
    </w:rPr>
  </w:style>
  <w:style w:type="paragraph" w:styleId="31">
    <w:name w:val="heading 3"/>
    <w:basedOn w:val="a1"/>
    <w:next w:val="a1"/>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41">
    <w:name w:val="heading 4"/>
    <w:basedOn w:val="a1"/>
    <w:next w:val="a1"/>
    <w:qFormat/>
    <w:rsid w:val="003C49C3"/>
    <w:pPr>
      <w:keepNext/>
      <w:spacing w:before="240" w:after="240"/>
      <w:outlineLvl w:val="3"/>
    </w:pPr>
    <w:rPr>
      <w:rFonts w:ascii="Times New Roman" w:hAnsi="Times New Roman"/>
      <w:b/>
      <w:bCs/>
      <w:szCs w:val="28"/>
    </w:rPr>
  </w:style>
  <w:style w:type="paragraph" w:styleId="51">
    <w:name w:val="heading 5"/>
    <w:basedOn w:val="a1"/>
    <w:next w:val="a1"/>
    <w:qFormat/>
    <w:pPr>
      <w:spacing w:before="240" w:after="60"/>
      <w:outlineLvl w:val="4"/>
    </w:pPr>
    <w:rPr>
      <w:b/>
      <w:bCs/>
      <w:i/>
      <w:iCs/>
      <w:sz w:val="26"/>
      <w:szCs w:val="26"/>
    </w:rPr>
  </w:style>
  <w:style w:type="paragraph" w:styleId="6">
    <w:name w:val="heading 6"/>
    <w:basedOn w:val="a1"/>
    <w:next w:val="a1"/>
    <w:qFormat/>
    <w:pPr>
      <w:spacing w:before="240" w:after="60"/>
      <w:outlineLvl w:val="5"/>
    </w:pPr>
    <w:rPr>
      <w:rFonts w:ascii="Times New Roman" w:hAnsi="Times New Roman"/>
      <w:b/>
      <w:bCs/>
      <w:sz w:val="22"/>
      <w:szCs w:val="22"/>
    </w:rPr>
  </w:style>
  <w:style w:type="paragraph" w:styleId="7">
    <w:name w:val="heading 7"/>
    <w:basedOn w:val="a1"/>
    <w:next w:val="a1"/>
    <w:qFormat/>
    <w:pPr>
      <w:spacing w:before="240" w:after="60"/>
      <w:outlineLvl w:val="6"/>
    </w:pPr>
    <w:rPr>
      <w:rFonts w:ascii="Times New Roman" w:hAnsi="Times New Roman"/>
      <w:szCs w:val="24"/>
    </w:rPr>
  </w:style>
  <w:style w:type="paragraph" w:styleId="8">
    <w:name w:val="heading 8"/>
    <w:basedOn w:val="a1"/>
    <w:next w:val="a1"/>
    <w:qFormat/>
    <w:pPr>
      <w:spacing w:before="240" w:after="60"/>
      <w:outlineLvl w:val="7"/>
    </w:pPr>
    <w:rPr>
      <w:rFonts w:ascii="Times New Roman" w:hAnsi="Times New Roman"/>
      <w:i/>
      <w:iCs/>
      <w:szCs w:val="24"/>
    </w:rPr>
  </w:style>
  <w:style w:type="paragraph" w:styleId="9">
    <w:name w:val="heading 9"/>
    <w:basedOn w:val="a1"/>
    <w:next w:val="a1"/>
    <w:qFormat/>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semiHidden/>
    <w:rPr>
      <w:vertAlign w:val="superscript"/>
    </w:rPr>
  </w:style>
  <w:style w:type="character" w:customStyle="1" w:styleId="WW-Absatz-Standardschriftart">
    <w:name w:val="WW-Absatz-Standardschriftart"/>
    <w:rPr>
      <w:sz w:val="24"/>
    </w:rPr>
  </w:style>
  <w:style w:type="character" w:styleId="a6">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a1"/>
    <w:link w:val="TextkrperChar"/>
    <w:rPr>
      <w:sz w:val="20"/>
    </w:rPr>
  </w:style>
  <w:style w:type="paragraph" w:styleId="a7">
    <w:name w:val="footnote text"/>
    <w:basedOn w:val="a1"/>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Web">
    <w:name w:val="Normal (Web)"/>
    <w:basedOn w:val="a1"/>
    <w:pPr>
      <w:widowControl w:val="0"/>
      <w:suppressAutoHyphens w:val="0"/>
      <w:spacing w:before="100" w:after="100"/>
    </w:pPr>
    <w:rPr>
      <w:rFonts w:ascii="Arial Unicode MS" w:eastAsia="Arial Unicode MS"/>
      <w:lang w:val="en-US"/>
    </w:rPr>
  </w:style>
  <w:style w:type="character" w:styleId="a8">
    <w:name w:val="FollowedHyperlink"/>
    <w:rPr>
      <w:color w:val="800080"/>
      <w:u w:val="single"/>
    </w:rPr>
  </w:style>
  <w:style w:type="paragraph" w:styleId="a9">
    <w:name w:val="header"/>
    <w:basedOn w:val="a1"/>
    <w:link w:val="aa"/>
    <w:uiPriority w:val="99"/>
    <w:pPr>
      <w:tabs>
        <w:tab w:val="center" w:pos="4320"/>
        <w:tab w:val="right" w:pos="8640"/>
      </w:tabs>
    </w:pPr>
  </w:style>
  <w:style w:type="paragraph" w:styleId="ab">
    <w:name w:val="footer"/>
    <w:basedOn w:val="a1"/>
    <w:pPr>
      <w:tabs>
        <w:tab w:val="center" w:pos="4320"/>
        <w:tab w:val="right" w:pos="8640"/>
      </w:tabs>
    </w:pPr>
  </w:style>
  <w:style w:type="character" w:styleId="ac">
    <w:name w:val="page number"/>
    <w:basedOn w:val="a2"/>
  </w:style>
  <w:style w:type="paragraph" w:styleId="ad">
    <w:name w:val="Body Text"/>
    <w:basedOn w:val="a1"/>
    <w:pPr>
      <w:jc w:val="center"/>
    </w:pPr>
    <w:rPr>
      <w:rFonts w:ascii="Times New Roman" w:hAnsi="Times New Roman"/>
      <w:b/>
      <w:sz w:val="28"/>
      <w:lang w:val="en-US"/>
    </w:rPr>
  </w:style>
  <w:style w:type="paragraph" w:styleId="ae">
    <w:name w:val="Block Text"/>
    <w:basedOn w:val="a1"/>
    <w:pPr>
      <w:ind w:left="1440" w:right="1440"/>
    </w:pPr>
  </w:style>
  <w:style w:type="paragraph" w:styleId="22">
    <w:name w:val="Body Text 2"/>
    <w:basedOn w:val="a1"/>
    <w:pPr>
      <w:spacing w:line="480" w:lineRule="auto"/>
    </w:pPr>
  </w:style>
  <w:style w:type="paragraph" w:styleId="32">
    <w:name w:val="Body Text 3"/>
    <w:basedOn w:val="a1"/>
    <w:rPr>
      <w:sz w:val="16"/>
      <w:szCs w:val="16"/>
    </w:rPr>
  </w:style>
  <w:style w:type="paragraph" w:styleId="af">
    <w:name w:val="Body Text First Indent"/>
    <w:basedOn w:val="ad"/>
    <w:pPr>
      <w:ind w:firstLine="210"/>
      <w:jc w:val="left"/>
    </w:pPr>
    <w:rPr>
      <w:rFonts w:ascii="Times" w:hAnsi="Times"/>
      <w:b w:val="0"/>
      <w:sz w:val="24"/>
      <w:lang w:val="en-GB"/>
    </w:rPr>
  </w:style>
  <w:style w:type="paragraph" w:styleId="af0">
    <w:name w:val="Body Text Indent"/>
    <w:basedOn w:val="a1"/>
    <w:pPr>
      <w:ind w:left="283"/>
    </w:pPr>
  </w:style>
  <w:style w:type="paragraph" w:styleId="23">
    <w:name w:val="Body Text First Indent 2"/>
    <w:basedOn w:val="af0"/>
    <w:pPr>
      <w:ind w:firstLine="210"/>
    </w:pPr>
  </w:style>
  <w:style w:type="paragraph" w:styleId="24">
    <w:name w:val="Body Text Indent 2"/>
    <w:basedOn w:val="a1"/>
    <w:pPr>
      <w:spacing w:line="480" w:lineRule="auto"/>
      <w:ind w:left="283"/>
    </w:pPr>
  </w:style>
  <w:style w:type="paragraph" w:styleId="33">
    <w:name w:val="Body Text Indent 3"/>
    <w:basedOn w:val="a1"/>
    <w:pPr>
      <w:ind w:left="283"/>
    </w:pPr>
    <w:rPr>
      <w:sz w:val="16"/>
      <w:szCs w:val="16"/>
    </w:rPr>
  </w:style>
  <w:style w:type="paragraph" w:styleId="af1">
    <w:name w:val="caption"/>
    <w:basedOn w:val="a1"/>
    <w:next w:val="a1"/>
    <w:qFormat/>
    <w:pPr>
      <w:spacing w:before="120"/>
    </w:pPr>
    <w:rPr>
      <w:b/>
      <w:bCs/>
      <w:sz w:val="20"/>
    </w:rPr>
  </w:style>
  <w:style w:type="paragraph" w:styleId="af2">
    <w:name w:val="Closing"/>
    <w:basedOn w:val="a1"/>
    <w:pPr>
      <w:ind w:left="4252"/>
    </w:pPr>
  </w:style>
  <w:style w:type="paragraph" w:styleId="af3">
    <w:name w:val="annotation text"/>
    <w:basedOn w:val="a1"/>
    <w:link w:val="af4"/>
    <w:semiHidden/>
    <w:rPr>
      <w:sz w:val="20"/>
    </w:rPr>
  </w:style>
  <w:style w:type="paragraph" w:styleId="af5">
    <w:name w:val="Date"/>
    <w:basedOn w:val="a1"/>
    <w:next w:val="a1"/>
  </w:style>
  <w:style w:type="paragraph" w:styleId="af6">
    <w:name w:val="Document Map"/>
    <w:basedOn w:val="a1"/>
    <w:semiHidden/>
    <w:pPr>
      <w:shd w:val="clear" w:color="auto" w:fill="000080"/>
    </w:pPr>
    <w:rPr>
      <w:rFonts w:ascii="Tahoma" w:hAnsi="Tahoma" w:cs="Tahoma"/>
    </w:rPr>
  </w:style>
  <w:style w:type="paragraph" w:styleId="af7">
    <w:name w:val="E-mail Signature"/>
    <w:basedOn w:val="a1"/>
  </w:style>
  <w:style w:type="paragraph" w:styleId="af8">
    <w:name w:val="endnote text"/>
    <w:basedOn w:val="a1"/>
    <w:semiHidden/>
    <w:rPr>
      <w:sz w:val="20"/>
    </w:rPr>
  </w:style>
  <w:style w:type="paragraph" w:styleId="af9">
    <w:name w:val="envelope address"/>
    <w:basedOn w:val="a1"/>
    <w:pPr>
      <w:framePr w:w="7920" w:h="1980" w:hRule="exact" w:hSpace="180" w:wrap="auto" w:hAnchor="page" w:xAlign="center" w:yAlign="bottom"/>
      <w:ind w:left="2880"/>
    </w:pPr>
    <w:rPr>
      <w:rFonts w:ascii="Arial" w:hAnsi="Arial" w:cs="Arial"/>
      <w:szCs w:val="24"/>
    </w:rPr>
  </w:style>
  <w:style w:type="paragraph" w:styleId="afa">
    <w:name w:val="envelope return"/>
    <w:basedOn w:val="a1"/>
    <w:rPr>
      <w:rFonts w:ascii="Arial" w:hAnsi="Arial" w:cs="Arial"/>
      <w:sz w:val="20"/>
    </w:rPr>
  </w:style>
  <w:style w:type="paragraph" w:styleId="HTML">
    <w:name w:val="HTML Address"/>
    <w:basedOn w:val="a1"/>
    <w:rPr>
      <w:i/>
      <w:iCs/>
    </w:rPr>
  </w:style>
  <w:style w:type="paragraph" w:styleId="HTML0">
    <w:name w:val="HTML Preformatted"/>
    <w:basedOn w:val="a1"/>
    <w:rPr>
      <w:rFonts w:ascii="Courier New" w:hAnsi="Courier New" w:cs="Courier New"/>
      <w:sz w:val="20"/>
    </w:rPr>
  </w:style>
  <w:style w:type="paragraph" w:styleId="10">
    <w:name w:val="index 1"/>
    <w:basedOn w:val="a1"/>
    <w:next w:val="a1"/>
    <w:autoRedefine/>
    <w:semiHidden/>
    <w:pPr>
      <w:ind w:left="240" w:hanging="240"/>
    </w:pPr>
  </w:style>
  <w:style w:type="paragraph" w:styleId="25">
    <w:name w:val="index 2"/>
    <w:basedOn w:val="a1"/>
    <w:next w:val="a1"/>
    <w:autoRedefine/>
    <w:semiHidden/>
    <w:pPr>
      <w:ind w:left="480" w:hanging="240"/>
    </w:pPr>
  </w:style>
  <w:style w:type="paragraph" w:styleId="34">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b">
    <w:name w:val="index heading"/>
    <w:basedOn w:val="a1"/>
    <w:next w:val="10"/>
    <w:semiHidden/>
    <w:rPr>
      <w:rFonts w:ascii="Arial" w:hAnsi="Arial" w:cs="Arial"/>
      <w:b/>
      <w:bCs/>
    </w:rPr>
  </w:style>
  <w:style w:type="paragraph" w:styleId="afc">
    <w:name w:val="List"/>
    <w:basedOn w:val="a1"/>
    <w:pPr>
      <w:ind w:left="283" w:hanging="283"/>
    </w:pPr>
  </w:style>
  <w:style w:type="paragraph" w:styleId="26">
    <w:name w:val="List 2"/>
    <w:basedOn w:val="a1"/>
    <w:pPr>
      <w:ind w:left="566" w:hanging="283"/>
    </w:pPr>
  </w:style>
  <w:style w:type="paragraph" w:styleId="35">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autoRedefine/>
    <w:pPr>
      <w:numPr>
        <w:numId w:val="27"/>
      </w:numPr>
    </w:pPr>
  </w:style>
  <w:style w:type="paragraph" w:styleId="20">
    <w:name w:val="List Bullet 2"/>
    <w:basedOn w:val="a1"/>
    <w:autoRedefine/>
    <w:pPr>
      <w:numPr>
        <w:numId w:val="28"/>
      </w:numPr>
    </w:pPr>
  </w:style>
  <w:style w:type="paragraph" w:styleId="30">
    <w:name w:val="List Bullet 3"/>
    <w:basedOn w:val="a1"/>
    <w:autoRedefine/>
    <w:pPr>
      <w:numPr>
        <w:numId w:val="29"/>
      </w:numPr>
    </w:pPr>
  </w:style>
  <w:style w:type="paragraph" w:styleId="40">
    <w:name w:val="List Bullet 4"/>
    <w:basedOn w:val="a1"/>
    <w:autoRedefine/>
    <w:pPr>
      <w:numPr>
        <w:numId w:val="30"/>
      </w:numPr>
    </w:pPr>
  </w:style>
  <w:style w:type="paragraph" w:styleId="50">
    <w:name w:val="List Bullet 5"/>
    <w:basedOn w:val="a1"/>
    <w:autoRedefine/>
    <w:pPr>
      <w:numPr>
        <w:numId w:val="31"/>
      </w:numPr>
    </w:pPr>
  </w:style>
  <w:style w:type="paragraph" w:styleId="afd">
    <w:name w:val="List Continue"/>
    <w:basedOn w:val="a1"/>
    <w:pPr>
      <w:ind w:left="283"/>
    </w:pPr>
  </w:style>
  <w:style w:type="paragraph" w:styleId="27">
    <w:name w:val="List Continue 2"/>
    <w:basedOn w:val="a1"/>
    <w:pPr>
      <w:ind w:left="566"/>
    </w:pPr>
  </w:style>
  <w:style w:type="paragraph" w:styleId="36">
    <w:name w:val="List Continue 3"/>
    <w:basedOn w:val="a1"/>
    <w:pPr>
      <w:ind w:left="849"/>
    </w:pPr>
  </w:style>
  <w:style w:type="paragraph" w:styleId="44">
    <w:name w:val="List Continue 4"/>
    <w:basedOn w:val="a1"/>
    <w:pPr>
      <w:ind w:left="1132"/>
    </w:pPr>
  </w:style>
  <w:style w:type="paragraph" w:styleId="54">
    <w:name w:val="List Continue 5"/>
    <w:basedOn w:val="a1"/>
    <w:pPr>
      <w:ind w:left="1415"/>
    </w:pPr>
  </w:style>
  <w:style w:type="paragraph" w:styleId="a">
    <w:name w:val="List Number"/>
    <w:basedOn w:val="a1"/>
    <w:pPr>
      <w:numPr>
        <w:numId w:val="32"/>
      </w:numPr>
    </w:pPr>
  </w:style>
  <w:style w:type="paragraph" w:styleId="2">
    <w:name w:val="List Number 2"/>
    <w:basedOn w:val="a1"/>
    <w:pPr>
      <w:numPr>
        <w:numId w:val="33"/>
      </w:numPr>
    </w:pPr>
  </w:style>
  <w:style w:type="paragraph" w:styleId="3">
    <w:name w:val="List Number 3"/>
    <w:basedOn w:val="a1"/>
    <w:pPr>
      <w:numPr>
        <w:numId w:val="34"/>
      </w:numPr>
    </w:pPr>
  </w:style>
  <w:style w:type="paragraph" w:styleId="4">
    <w:name w:val="List Number 4"/>
    <w:basedOn w:val="a1"/>
    <w:pPr>
      <w:numPr>
        <w:numId w:val="35"/>
      </w:numPr>
    </w:pPr>
  </w:style>
  <w:style w:type="paragraph" w:styleId="5">
    <w:name w:val="List Number 5"/>
    <w:basedOn w:val="a1"/>
    <w:pPr>
      <w:numPr>
        <w:numId w:val="36"/>
      </w:numPr>
    </w:pPr>
  </w:style>
  <w:style w:type="paragraph" w:styleId="afe">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aff">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aff0">
    <w:name w:val="Normal Indent"/>
    <w:basedOn w:val="a1"/>
    <w:pPr>
      <w:ind w:left="720"/>
    </w:pPr>
  </w:style>
  <w:style w:type="paragraph" w:styleId="aff1">
    <w:name w:val="Note Heading"/>
    <w:basedOn w:val="a1"/>
    <w:next w:val="a1"/>
  </w:style>
  <w:style w:type="paragraph" w:styleId="aff2">
    <w:name w:val="Plain Text"/>
    <w:basedOn w:val="a1"/>
    <w:rPr>
      <w:rFonts w:ascii="Courier New" w:hAnsi="Courier New" w:cs="Courier New"/>
      <w:sz w:val="20"/>
    </w:rPr>
  </w:style>
  <w:style w:type="paragraph" w:styleId="aff3">
    <w:name w:val="Salutation"/>
    <w:basedOn w:val="a1"/>
    <w:next w:val="a1"/>
  </w:style>
  <w:style w:type="paragraph" w:styleId="aff4">
    <w:name w:val="Signature"/>
    <w:basedOn w:val="a1"/>
    <w:pPr>
      <w:ind w:left="4252"/>
    </w:pPr>
  </w:style>
  <w:style w:type="paragraph" w:styleId="aff5">
    <w:name w:val="Subtitle"/>
    <w:basedOn w:val="a1"/>
    <w:qFormat/>
    <w:pPr>
      <w:spacing w:after="60"/>
      <w:jc w:val="center"/>
      <w:outlineLvl w:val="1"/>
    </w:pPr>
    <w:rPr>
      <w:rFonts w:ascii="Arial" w:hAnsi="Arial" w:cs="Arial"/>
      <w:szCs w:val="24"/>
    </w:rPr>
  </w:style>
  <w:style w:type="paragraph" w:styleId="aff6">
    <w:name w:val="table of authorities"/>
    <w:basedOn w:val="a1"/>
    <w:next w:val="a1"/>
    <w:semiHidden/>
    <w:pPr>
      <w:ind w:left="240" w:hanging="240"/>
    </w:pPr>
  </w:style>
  <w:style w:type="paragraph" w:styleId="aff7">
    <w:name w:val="table of figures"/>
    <w:basedOn w:val="a1"/>
    <w:next w:val="a1"/>
    <w:semiHidden/>
    <w:pPr>
      <w:ind w:left="480" w:hanging="480"/>
    </w:pPr>
  </w:style>
  <w:style w:type="paragraph" w:styleId="aff8">
    <w:name w:val="Title"/>
    <w:basedOn w:val="a1"/>
    <w:qFormat/>
    <w:pPr>
      <w:spacing w:before="240" w:after="60"/>
      <w:jc w:val="center"/>
      <w:outlineLvl w:val="0"/>
    </w:pPr>
    <w:rPr>
      <w:rFonts w:ascii="Arial" w:hAnsi="Arial" w:cs="Arial"/>
      <w:b/>
      <w:bCs/>
      <w:kern w:val="28"/>
      <w:sz w:val="32"/>
      <w:szCs w:val="32"/>
    </w:rPr>
  </w:style>
  <w:style w:type="paragraph" w:styleId="aff9">
    <w:name w:val="toa heading"/>
    <w:basedOn w:val="a1"/>
    <w:next w:val="a1"/>
    <w:semiHidden/>
    <w:pPr>
      <w:spacing w:before="120"/>
    </w:pPr>
    <w:rPr>
      <w:rFonts w:ascii="Arial" w:hAnsi="Arial" w:cs="Arial"/>
      <w:b/>
      <w:bCs/>
      <w:szCs w:val="24"/>
    </w:rPr>
  </w:style>
  <w:style w:type="paragraph" w:styleId="11">
    <w:name w:val="toc 1"/>
    <w:basedOn w:val="a1"/>
    <w:next w:val="a1"/>
    <w:autoRedefine/>
    <w:semiHidden/>
  </w:style>
  <w:style w:type="paragraph" w:styleId="28">
    <w:name w:val="toc 2"/>
    <w:basedOn w:val="a1"/>
    <w:next w:val="a1"/>
    <w:autoRedefine/>
    <w:semiHidden/>
    <w:pPr>
      <w:ind w:left="240"/>
    </w:pPr>
  </w:style>
  <w:style w:type="paragraph" w:styleId="37">
    <w:name w:val="toc 3"/>
    <w:basedOn w:val="a1"/>
    <w:next w:val="a1"/>
    <w:autoRedefine/>
    <w:semiHidden/>
    <w:pPr>
      <w:ind w:left="480"/>
    </w:pPr>
  </w:style>
  <w:style w:type="paragraph" w:styleId="45">
    <w:name w:val="toc 4"/>
    <w:basedOn w:val="a1"/>
    <w:next w:val="a1"/>
    <w:autoRedefine/>
    <w:semiHidden/>
    <w:pPr>
      <w:ind w:left="720"/>
    </w:pPr>
  </w:style>
  <w:style w:type="paragraph" w:styleId="55">
    <w:name w:val="toc 5"/>
    <w:basedOn w:val="a1"/>
    <w:next w:val="a1"/>
    <w:autoRedefine/>
    <w:semiHidden/>
    <w:pPr>
      <w:ind w:left="960"/>
    </w:p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aa">
    <w:name w:val="ヘッダー (文字)"/>
    <w:link w:val="a9"/>
    <w:uiPriority w:val="99"/>
    <w:rsid w:val="00626E86"/>
    <w:rPr>
      <w:rFonts w:ascii="Times" w:hAnsi="Times"/>
      <w:sz w:val="24"/>
      <w:lang w:val="en-GB" w:eastAsia="en-US"/>
    </w:rPr>
  </w:style>
  <w:style w:type="character" w:styleId="affa">
    <w:name w:val="annotation reference"/>
    <w:rsid w:val="00EF037A"/>
    <w:rPr>
      <w:sz w:val="16"/>
      <w:szCs w:val="16"/>
    </w:rPr>
  </w:style>
  <w:style w:type="paragraph" w:styleId="affb">
    <w:name w:val="annotation subject"/>
    <w:basedOn w:val="af3"/>
    <w:next w:val="af3"/>
    <w:link w:val="affc"/>
    <w:rsid w:val="00EF037A"/>
    <w:rPr>
      <w:b/>
      <w:bCs/>
    </w:rPr>
  </w:style>
  <w:style w:type="character" w:customStyle="1" w:styleId="af4">
    <w:name w:val="コメント文字列 (文字)"/>
    <w:link w:val="af3"/>
    <w:semiHidden/>
    <w:rsid w:val="00EF037A"/>
    <w:rPr>
      <w:rFonts w:ascii="Times" w:hAnsi="Times"/>
      <w:lang w:eastAsia="en-US"/>
    </w:rPr>
  </w:style>
  <w:style w:type="character" w:customStyle="1" w:styleId="affc">
    <w:name w:val="コメント内容 (文字)"/>
    <w:link w:val="affb"/>
    <w:rsid w:val="00EF037A"/>
    <w:rPr>
      <w:rFonts w:ascii="Times" w:hAnsi="Times"/>
      <w:b/>
      <w:bCs/>
      <w:lang w:eastAsia="en-US"/>
    </w:rPr>
  </w:style>
  <w:style w:type="paragraph" w:styleId="affd">
    <w:name w:val="Balloon Text"/>
    <w:basedOn w:val="a1"/>
    <w:link w:val="affe"/>
    <w:rsid w:val="00EF037A"/>
    <w:pPr>
      <w:spacing w:after="0"/>
    </w:pPr>
    <w:rPr>
      <w:rFonts w:ascii="Tahoma" w:hAnsi="Tahoma" w:cs="Tahoma"/>
      <w:sz w:val="16"/>
      <w:szCs w:val="16"/>
    </w:rPr>
  </w:style>
  <w:style w:type="character" w:customStyle="1" w:styleId="affe">
    <w:name w:val="吹き出し (文字)"/>
    <w:link w:val="affd"/>
    <w:rsid w:val="00EF037A"/>
    <w:rPr>
      <w:rFonts w:ascii="Tahoma" w:hAnsi="Tahoma" w:cs="Tahoma"/>
      <w:sz w:val="16"/>
      <w:szCs w:val="16"/>
      <w:lang w:eastAsia="en-US"/>
    </w:rPr>
  </w:style>
  <w:style w:type="paragraph" w:styleId="afff">
    <w:name w:val="List Paragraph"/>
    <w:basedOn w:val="a1"/>
    <w:uiPriority w:val="34"/>
    <w:qFormat/>
    <w:rsid w:val="00A944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132A6-2743-4C5F-BD7F-E4E4F3070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4069</Words>
  <Characters>23198</Characters>
  <Application>Microsoft Office Word</Application>
  <DocSecurity>0</DocSecurity>
  <Lines>193</Lines>
  <Paragraphs>54</Paragraphs>
  <ScaleCrop>false</ScaleCrop>
  <HeadingPairs>
    <vt:vector size="6" baseType="variant">
      <vt:variant>
        <vt:lpstr>タイトル</vt:lpstr>
      </vt:variant>
      <vt:variant>
        <vt:i4>1</vt:i4>
      </vt:variant>
      <vt:variant>
        <vt:lpstr>Titre</vt:lpstr>
      </vt:variant>
      <vt:variant>
        <vt:i4>1</vt:i4>
      </vt:variant>
      <vt:variant>
        <vt:lpstr>Title</vt:lpstr>
      </vt:variant>
      <vt:variant>
        <vt:i4>1</vt:i4>
      </vt:variant>
    </vt:vector>
  </HeadingPairs>
  <TitlesOfParts>
    <vt:vector size="3" baseType="lpstr">
      <vt:lpstr>Preparation and Submission of a Manuscript for the Proceedings</vt:lpstr>
      <vt:lpstr>Preparation and Submission of a Manuscript for the Proceedings</vt:lpstr>
      <vt:lpstr>Preparation and Submission of a Manuscript for the Proceedings</vt:lpstr>
    </vt:vector>
  </TitlesOfParts>
  <Company>IAEA</Company>
  <LinksUpToDate>false</LinksUpToDate>
  <CharactersWithSpaces>27213</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subject/>
  <dc:creator>Schneider Ursula</dc:creator>
  <cp:keywords/>
  <cp:lastModifiedBy>fujiwara</cp:lastModifiedBy>
  <cp:revision>2</cp:revision>
  <cp:lastPrinted>2018-02-18T00:49:00Z</cp:lastPrinted>
  <dcterms:created xsi:type="dcterms:W3CDTF">2018-02-27T00:54:00Z</dcterms:created>
  <dcterms:modified xsi:type="dcterms:W3CDTF">2018-02-27T00:54:00Z</dcterms:modified>
</cp:coreProperties>
</file>